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1D6E5F6" w:rsidR="00E90E49" w:rsidRPr="00F06DCE" w:rsidRDefault="00E90E49" w:rsidP="003C117F">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04380E">
        <w:t>3</w:t>
      </w:r>
      <w:r w:rsidRPr="00F06DCE">
        <w:tab/>
      </w:r>
      <w:r w:rsidR="00060620" w:rsidRPr="001962D5">
        <w:rPr>
          <w:sz w:val="32"/>
          <w:szCs w:val="32"/>
        </w:rPr>
        <w:t>R2-</w:t>
      </w:r>
      <w:r w:rsidR="00523578" w:rsidRPr="00523578">
        <w:rPr>
          <w:sz w:val="32"/>
          <w:szCs w:val="32"/>
        </w:rPr>
        <w:t>2307971</w:t>
      </w:r>
    </w:p>
    <w:p w14:paraId="0DEF01D1" w14:textId="7591C99D" w:rsidR="00E90E49" w:rsidRPr="00CE0424" w:rsidRDefault="001A5AB6" w:rsidP="00311702">
      <w:pPr>
        <w:pStyle w:val="3GPPHeader"/>
      </w:pPr>
      <w:r w:rsidRPr="001A5AB6">
        <w:t>Toulouse, F</w:t>
      </w:r>
      <w:r w:rsidR="00437D7A">
        <w:t>rance</w:t>
      </w:r>
      <w:r w:rsidR="006F1FF2" w:rsidRPr="006F1FF2">
        <w:t>, 2023-0</w:t>
      </w:r>
      <w:r w:rsidR="00437D7A">
        <w:t>8</w:t>
      </w:r>
      <w:r w:rsidR="006F1FF2" w:rsidRPr="006F1FF2">
        <w:t>-2</w:t>
      </w:r>
      <w:r w:rsidR="00437D7A">
        <w:t>1</w:t>
      </w:r>
      <w:r w:rsidR="006F1FF2">
        <w:t xml:space="preserve"> </w:t>
      </w:r>
      <w:r w:rsidR="006F1FF2" w:rsidRPr="006F1FF2">
        <w:t>- 2023-0</w:t>
      </w:r>
      <w:r w:rsidR="00437D7A">
        <w:t>8</w:t>
      </w:r>
      <w:r w:rsidR="006F1FF2" w:rsidRPr="006F1FF2">
        <w:t>-2</w:t>
      </w:r>
      <w:r w:rsidR="00437D7A">
        <w:t>5</w:t>
      </w:r>
    </w:p>
    <w:p w14:paraId="252563D4" w14:textId="77777777" w:rsidR="00E90E49" w:rsidRPr="00CE0424" w:rsidRDefault="00E90E49" w:rsidP="00357380">
      <w:pPr>
        <w:pStyle w:val="3GPPHeader"/>
      </w:pPr>
    </w:p>
    <w:p w14:paraId="267378A2" w14:textId="341B2C35" w:rsidR="00E90E49" w:rsidRPr="00CE0424" w:rsidRDefault="00E90E49" w:rsidP="00311702">
      <w:pPr>
        <w:pStyle w:val="3GPPHeader"/>
        <w:rPr>
          <w:sz w:val="22"/>
          <w:szCs w:val="22"/>
        </w:rPr>
      </w:pPr>
      <w:r w:rsidRPr="00DA2641">
        <w:rPr>
          <w:sz w:val="22"/>
          <w:szCs w:val="22"/>
        </w:rPr>
        <w:t>Agenda Item:</w:t>
      </w:r>
      <w:r w:rsidRPr="00DA2641">
        <w:rPr>
          <w:sz w:val="22"/>
          <w:szCs w:val="22"/>
        </w:rPr>
        <w:tab/>
      </w:r>
      <w:r w:rsidR="00DA2641" w:rsidRPr="00DA2641">
        <w:rPr>
          <w:sz w:val="22"/>
          <w:szCs w:val="22"/>
        </w:rPr>
        <w:t>7</w:t>
      </w:r>
      <w:r w:rsidR="006F1FF2" w:rsidRPr="00DA2641">
        <w:rPr>
          <w:sz w:val="22"/>
          <w:szCs w:val="22"/>
        </w:rPr>
        <w:t>.</w:t>
      </w:r>
      <w:r w:rsidR="00DA2641" w:rsidRPr="00DA2641">
        <w:rPr>
          <w:sz w:val="22"/>
          <w:szCs w:val="22"/>
        </w:rPr>
        <w:t>4</w:t>
      </w:r>
      <w:r w:rsidR="006F1FF2" w:rsidRPr="00DA2641">
        <w:rPr>
          <w:sz w:val="22"/>
          <w:szCs w:val="22"/>
        </w:rPr>
        <w:t>.</w:t>
      </w:r>
      <w:r w:rsidR="00DA2641" w:rsidRPr="00DA2641">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0819B99" w:rsidR="00E90E49" w:rsidRPr="00CE0424" w:rsidRDefault="003D3C45" w:rsidP="00311702">
      <w:pPr>
        <w:pStyle w:val="3GPPHeader"/>
        <w:rPr>
          <w:sz w:val="22"/>
          <w:szCs w:val="22"/>
        </w:rPr>
      </w:pPr>
      <w:r>
        <w:rPr>
          <w:sz w:val="22"/>
          <w:szCs w:val="22"/>
        </w:rPr>
        <w:t>Title:</w:t>
      </w:r>
      <w:r w:rsidR="00E90E49" w:rsidRPr="00CE0424">
        <w:rPr>
          <w:sz w:val="22"/>
          <w:szCs w:val="22"/>
        </w:rPr>
        <w:tab/>
      </w:r>
      <w:r w:rsidR="003239E4" w:rsidRPr="003239E4">
        <w:rPr>
          <w:sz w:val="22"/>
          <w:szCs w:val="22"/>
        </w:rPr>
        <w:t>Subsequent CPAC</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382DE54B"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related to enhancements for </w:t>
      </w:r>
      <w:proofErr w:type="spellStart"/>
      <w:r w:rsidR="00A311A7">
        <w:t>PSCell</w:t>
      </w:r>
      <w:proofErr w:type="spellEnd"/>
      <w:r w:rsidR="00A311A7">
        <w:t xml:space="preserve"> mobility in case of NR-DC configurations (objective 2).</w:t>
      </w:r>
    </w:p>
    <w:p w14:paraId="5CB274D8" w14:textId="4108A144" w:rsidR="00392BBE" w:rsidRDefault="006F1FF2" w:rsidP="00CE0424">
      <w:pPr>
        <w:pStyle w:val="BodyText"/>
      </w:pPr>
      <w:bookmarkStart w:id="0" w:name="_Hlk127188717"/>
      <w:r>
        <w:t>T</w:t>
      </w:r>
      <w:r w:rsidR="00150866">
        <w:t xml:space="preserve">he following agreements </w:t>
      </w:r>
      <w:r w:rsidR="006015B4">
        <w:t xml:space="preserve">were </w:t>
      </w:r>
      <w:r w:rsidR="00150866">
        <w:t>reached</w:t>
      </w:r>
      <w:bookmarkEnd w:id="0"/>
      <w:r w:rsidR="00150866">
        <w:t xml:space="preserve"> for </w:t>
      </w:r>
      <w:r>
        <w:t xml:space="preserve">the </w:t>
      </w:r>
      <w:r w:rsidR="00150866">
        <w:t>objective</w:t>
      </w:r>
      <w:r>
        <w:t xml:space="preserve"> at the </w:t>
      </w:r>
      <w:r w:rsidR="007E168F">
        <w:t xml:space="preserve">last </w:t>
      </w:r>
      <w:r>
        <w:t>meeting.</w:t>
      </w:r>
    </w:p>
    <w:p w14:paraId="591862F9" w14:textId="1AD810AC" w:rsidR="00A920A7" w:rsidRPr="00F738C4" w:rsidRDefault="00600FB3" w:rsidP="00B50FF9">
      <w:pPr>
        <w:pStyle w:val="BodyText"/>
        <w:rPr>
          <w:lang w:val="en-US"/>
        </w:rPr>
      </w:pPr>
      <w:r w:rsidRPr="006F1FF2">
        <w:rPr>
          <w:u w:val="single"/>
        </w:rPr>
        <w:t>RAN2#12</w:t>
      </w:r>
      <w:r>
        <w:rPr>
          <w:u w:val="single"/>
        </w:rPr>
        <w:t>2:</w:t>
      </w:r>
    </w:p>
    <w:p w14:paraId="1799CAAB" w14:textId="77777777" w:rsidR="00A920A7" w:rsidRPr="00F738C4" w:rsidRDefault="00A920A7" w:rsidP="00B50FF9">
      <w:pPr>
        <w:pStyle w:val="Agreement"/>
        <w:tabs>
          <w:tab w:val="clear" w:pos="1494"/>
        </w:tabs>
        <w:ind w:left="850" w:hanging="357"/>
        <w:rPr>
          <w:lang w:val="en-US"/>
        </w:rPr>
      </w:pPr>
      <w:r w:rsidRPr="00F738C4">
        <w:rPr>
          <w:lang w:val="en-US"/>
        </w:rPr>
        <w:t>For SN-initiated SCG selective activation, candidate SN generates execution conditions for subsequent CPC.</w:t>
      </w:r>
    </w:p>
    <w:p w14:paraId="0200BE4B" w14:textId="77777777" w:rsidR="00A920A7" w:rsidRPr="00F738C4" w:rsidRDefault="00A920A7" w:rsidP="00557FF6">
      <w:pPr>
        <w:pStyle w:val="Agreement"/>
        <w:tabs>
          <w:tab w:val="clear" w:pos="1494"/>
        </w:tabs>
        <w:ind w:left="851"/>
        <w:rPr>
          <w:lang w:val="en-US"/>
        </w:rPr>
      </w:pPr>
      <w:r w:rsidRPr="00F738C4">
        <w:rPr>
          <w:lang w:val="en-US"/>
        </w:rPr>
        <w:t xml:space="preserve">FFS if it shall be possible to do something like MN-initiated CPA/CPC where Candidate SN generate execution conditions for subsequent </w:t>
      </w:r>
      <w:proofErr w:type="gramStart"/>
      <w:r w:rsidRPr="00F738C4">
        <w:rPr>
          <w:lang w:val="en-US"/>
        </w:rPr>
        <w:t>CPC</w:t>
      </w:r>
      <w:proofErr w:type="gramEnd"/>
    </w:p>
    <w:p w14:paraId="7190F140" w14:textId="2F374A0F" w:rsidR="00A920A7" w:rsidRPr="00F738C4" w:rsidRDefault="00A920A7" w:rsidP="00557FF6">
      <w:pPr>
        <w:pStyle w:val="Agreement"/>
        <w:tabs>
          <w:tab w:val="clear" w:pos="1494"/>
        </w:tabs>
        <w:ind w:left="851"/>
        <w:rPr>
          <w:lang w:val="en-US"/>
        </w:rPr>
      </w:pPr>
      <w:r w:rsidRPr="00F738C4">
        <w:rPr>
          <w:lang w:val="en-US"/>
        </w:rPr>
        <w:t xml:space="preserve">The UE shall skip the condition evaluation for a candidate which is a current </w:t>
      </w:r>
      <w:proofErr w:type="spellStart"/>
      <w:r w:rsidRPr="00F738C4">
        <w:rPr>
          <w:lang w:val="en-US"/>
        </w:rPr>
        <w:t>PScell</w:t>
      </w:r>
      <w:proofErr w:type="spellEnd"/>
      <w:r w:rsidRPr="00F738C4">
        <w:rPr>
          <w:lang w:val="en-US"/>
        </w:rPr>
        <w:t>.</w:t>
      </w:r>
    </w:p>
    <w:p w14:paraId="60841252" w14:textId="77777777" w:rsidR="00A920A7" w:rsidRPr="00F738C4" w:rsidRDefault="00A920A7" w:rsidP="00557FF6">
      <w:pPr>
        <w:pStyle w:val="Agreement"/>
        <w:tabs>
          <w:tab w:val="clear" w:pos="1494"/>
        </w:tabs>
        <w:ind w:left="851"/>
        <w:rPr>
          <w:lang w:val="en-US"/>
        </w:rPr>
      </w:pPr>
      <w:r w:rsidRPr="00F738C4">
        <w:rPr>
          <w:lang w:val="en-US"/>
        </w:rPr>
        <w:t xml:space="preserve">The reference configuration is provided to all candidates involved in preparation, FFS which node initially generates it. Assume it can be provided in MN initiated and in SN initiated procedures.  </w:t>
      </w:r>
    </w:p>
    <w:p w14:paraId="45BFBE1D" w14:textId="77777777" w:rsidR="00A920A7" w:rsidRPr="00F738C4" w:rsidRDefault="00A920A7" w:rsidP="00557FF6">
      <w:pPr>
        <w:pStyle w:val="Agreement"/>
        <w:tabs>
          <w:tab w:val="clear" w:pos="1494"/>
        </w:tabs>
        <w:ind w:left="851"/>
        <w:rPr>
          <w:lang w:val="en-US"/>
        </w:rPr>
      </w:pPr>
      <w:r w:rsidRPr="00F738C4">
        <w:rPr>
          <w:lang w:val="en-US"/>
        </w:rPr>
        <w:t>Will not spend specific efforts for supporting nested configurations for candidate cell configuration.</w:t>
      </w:r>
    </w:p>
    <w:p w14:paraId="7F1ACEE4" w14:textId="77777777" w:rsidR="00A920A7" w:rsidRPr="00F738C4" w:rsidRDefault="00A920A7" w:rsidP="00B50FF9">
      <w:pPr>
        <w:pStyle w:val="Agreement"/>
        <w:tabs>
          <w:tab w:val="clear" w:pos="1494"/>
        </w:tabs>
        <w:ind w:left="850" w:hanging="357"/>
        <w:rPr>
          <w:lang w:val="en-US"/>
        </w:rPr>
      </w:pPr>
      <w:r w:rsidRPr="00F738C4">
        <w:rPr>
          <w:lang w:val="en-US"/>
        </w:rPr>
        <w:t>Terminology is “Subsequent CPAC”</w:t>
      </w:r>
    </w:p>
    <w:p w14:paraId="25DB8188" w14:textId="77777777" w:rsidR="00A920A7" w:rsidRDefault="00A920A7" w:rsidP="00CE0424">
      <w:pPr>
        <w:pStyle w:val="BodyText"/>
      </w:pPr>
    </w:p>
    <w:p w14:paraId="4BB0ADAB" w14:textId="1E421D99" w:rsidR="00F64376" w:rsidRDefault="00F64376" w:rsidP="00CE0424">
      <w:pPr>
        <w:pStyle w:val="BodyText"/>
      </w:pPr>
      <w:r>
        <w:t xml:space="preserve">In this contribution we discuss different aspects and open issues for objective 2 in the WID on </w:t>
      </w:r>
      <w:r w:rsidR="0045106C">
        <w:t>R</w:t>
      </w:r>
      <w:r>
        <w:t xml:space="preserve">el-18 work on further NR mobility enhancements (in </w:t>
      </w:r>
      <w:r>
        <w:fldChar w:fldCharType="begin"/>
      </w:r>
      <w:r>
        <w:instrText xml:space="preserve"> REF _Ref107489175 \r \h </w:instrText>
      </w:r>
      <w:r>
        <w:fldChar w:fldCharType="separate"/>
      </w:r>
      <w:r>
        <w:t>[1]</w:t>
      </w:r>
      <w:r>
        <w:fldChar w:fldCharType="end"/>
      </w:r>
      <w:r>
        <w:t>).</w:t>
      </w:r>
    </w:p>
    <w:p w14:paraId="59E13DC4" w14:textId="3DC56BBD" w:rsidR="004000E8" w:rsidRDefault="00230D18" w:rsidP="00CE0424">
      <w:pPr>
        <w:pStyle w:val="Heading1"/>
      </w:pPr>
      <w:bookmarkStart w:id="1" w:name="_Ref178064866"/>
      <w:r w:rsidRPr="009C6E11">
        <w:t>2</w:t>
      </w:r>
      <w:r w:rsidRPr="009C6E11">
        <w:tab/>
      </w:r>
      <w:r w:rsidR="004000E8" w:rsidRPr="009C6E11">
        <w:t>Discussion</w:t>
      </w:r>
      <w:bookmarkEnd w:id="1"/>
    </w:p>
    <w:p w14:paraId="4A28246B" w14:textId="31C4AD77" w:rsidR="00FE122E" w:rsidRDefault="00FE122E" w:rsidP="00FE122E">
      <w:pPr>
        <w:pStyle w:val="Heading2"/>
      </w:pPr>
      <w:r w:rsidRPr="00530895">
        <w:t>2.</w:t>
      </w:r>
      <w:r w:rsidR="005411B7" w:rsidRPr="00530895">
        <w:t>1</w:t>
      </w:r>
      <w:r w:rsidRPr="00530895">
        <w:tab/>
      </w:r>
      <w:r w:rsidR="00686082">
        <w:t xml:space="preserve">Configuration of </w:t>
      </w:r>
      <w:r w:rsidR="00235969">
        <w:t>S</w:t>
      </w:r>
      <w:r w:rsidR="00AC4A44" w:rsidRPr="00AC4A44">
        <w:t>ubsequent CPAC</w:t>
      </w:r>
    </w:p>
    <w:p w14:paraId="375C780D" w14:textId="4F380B00" w:rsidR="001131AC" w:rsidRDefault="007B45E4" w:rsidP="00B93BF6">
      <w:r>
        <w:t xml:space="preserve">At RAN2#121bis it was agreed that the source MN generates the </w:t>
      </w:r>
      <w:r w:rsidRPr="007B45E4">
        <w:t>execution conditions for the initial CPAC</w:t>
      </w:r>
      <w:r>
        <w:t xml:space="preserve"> in case of MN-initiated scenarios and that the source SN generates the </w:t>
      </w:r>
      <w:r w:rsidRPr="007B45E4">
        <w:t>execution conditions for the initial CPC</w:t>
      </w:r>
      <w:r>
        <w:t xml:space="preserve"> in case of SN-initiated scenarios. </w:t>
      </w:r>
      <w:r w:rsidR="004B5031">
        <w:t>At RAN2#122 it was further agreed that</w:t>
      </w:r>
      <w:r w:rsidR="004C10AF">
        <w:t xml:space="preserve"> </w:t>
      </w:r>
      <w:r w:rsidR="007E168F">
        <w:t xml:space="preserve">it is </w:t>
      </w:r>
      <w:r w:rsidR="004C10AF">
        <w:t>the</w:t>
      </w:r>
      <w:r w:rsidR="004C10AF" w:rsidRPr="004C10AF">
        <w:t xml:space="preserve"> candidate SN </w:t>
      </w:r>
      <w:r w:rsidR="007E168F">
        <w:t xml:space="preserve">that </w:t>
      </w:r>
      <w:r w:rsidR="004C10AF" w:rsidRPr="004C10AF">
        <w:t xml:space="preserve">generates </w:t>
      </w:r>
      <w:r w:rsidR="007E168F">
        <w:t xml:space="preserve">the </w:t>
      </w:r>
      <w:r w:rsidR="004C10AF" w:rsidRPr="004C10AF">
        <w:t>execution conditions for subsequent CPC</w:t>
      </w:r>
      <w:r w:rsidR="004C10AF">
        <w:t xml:space="preserve"> in case of </w:t>
      </w:r>
      <w:r w:rsidR="004C10AF" w:rsidRPr="004C10AF">
        <w:t xml:space="preserve">SN-initiated </w:t>
      </w:r>
      <w:r w:rsidR="00D33BB2">
        <w:t>S</w:t>
      </w:r>
      <w:r w:rsidR="00783C38" w:rsidRPr="00783C38">
        <w:t>ubsequent CPAC</w:t>
      </w:r>
      <w:r w:rsidR="004A648C">
        <w:t>.</w:t>
      </w:r>
    </w:p>
    <w:p w14:paraId="008CB242" w14:textId="31B68E84" w:rsidR="00684BAE" w:rsidRDefault="007F22F7" w:rsidP="0071768E">
      <w:r w:rsidRPr="00A20205">
        <w:t xml:space="preserve">One question is then how the execution conditions for subsequent CPC (as generated by the candidate SN) </w:t>
      </w:r>
      <w:r w:rsidR="00235969" w:rsidRPr="00A20205">
        <w:t xml:space="preserve">should be provided </w:t>
      </w:r>
      <w:r w:rsidRPr="00A20205">
        <w:t xml:space="preserve">to the UE. </w:t>
      </w:r>
      <w:r w:rsidR="0071768E" w:rsidRPr="00A20205">
        <w:t xml:space="preserve">To avoid the need for additional signalling at each </w:t>
      </w:r>
      <w:proofErr w:type="spellStart"/>
      <w:r w:rsidR="0071768E" w:rsidRPr="00A20205">
        <w:t>PSCell</w:t>
      </w:r>
      <w:proofErr w:type="spellEnd"/>
      <w:r w:rsidR="0071768E" w:rsidRPr="00A20205">
        <w:t xml:space="preserve"> change, the UE should receive the execution conditions for subsequent CPC </w:t>
      </w:r>
      <w:r w:rsidR="00684BAE" w:rsidRPr="00A20205">
        <w:t xml:space="preserve">(as generated by the candidate SN) </w:t>
      </w:r>
      <w:r w:rsidR="0071768E" w:rsidRPr="00A20205">
        <w:t>already as part of the initial configuration</w:t>
      </w:r>
      <w:r w:rsidR="00684BAE" w:rsidRPr="00A20205">
        <w:t xml:space="preserve">, </w:t>
      </w:r>
      <w:proofErr w:type="gramStart"/>
      <w:r w:rsidR="00684BAE" w:rsidRPr="00A20205">
        <w:t>i.e.</w:t>
      </w:r>
      <w:proofErr w:type="gramEnd"/>
      <w:r w:rsidR="00684BAE" w:rsidRPr="00A20205">
        <w:t xml:space="preserve"> </w:t>
      </w:r>
      <w:r w:rsidR="0071768E">
        <w:t xml:space="preserve">together with the </w:t>
      </w:r>
      <w:r>
        <w:t xml:space="preserve">candidate </w:t>
      </w:r>
      <w:r w:rsidR="0071768E">
        <w:t>configuration</w:t>
      </w:r>
      <w:r w:rsidR="00684BAE">
        <w:t>(s)</w:t>
      </w:r>
      <w:r w:rsidR="0071768E">
        <w:t xml:space="preserve"> from that candidate SN</w:t>
      </w:r>
      <w:r>
        <w:t xml:space="preserve"> (for </w:t>
      </w:r>
      <w:r w:rsidR="00235969">
        <w:t>S</w:t>
      </w:r>
      <w:r>
        <w:t>ubsequent CPAC)</w:t>
      </w:r>
      <w:r w:rsidR="0071768E">
        <w:t>.</w:t>
      </w:r>
      <w:r w:rsidR="00FE4FBC">
        <w:t xml:space="preserve"> When the UE executes a </w:t>
      </w:r>
      <w:r>
        <w:t>candidate</w:t>
      </w:r>
      <w:r w:rsidR="00FE4FBC">
        <w:t xml:space="preserve"> configuration to the candidate SN</w:t>
      </w:r>
      <w:r w:rsidR="0071768E">
        <w:t xml:space="preserve"> </w:t>
      </w:r>
      <w:r w:rsidR="00FE4FBC">
        <w:t xml:space="preserve">it </w:t>
      </w:r>
      <w:r w:rsidR="00684BAE">
        <w:t xml:space="preserve">then </w:t>
      </w:r>
      <w:r w:rsidR="00FE4FBC">
        <w:t xml:space="preserve">already has the execution conditions for subsequent CPC </w:t>
      </w:r>
      <w:r w:rsidR="00235969">
        <w:t>(</w:t>
      </w:r>
      <w:proofErr w:type="gramStart"/>
      <w:r w:rsidR="00235969">
        <w:t>i.e.</w:t>
      </w:r>
      <w:proofErr w:type="gramEnd"/>
      <w:r w:rsidR="00235969">
        <w:t xml:space="preserve"> for other candidate configurations) </w:t>
      </w:r>
      <w:r w:rsidR="00FE4FBC">
        <w:t>stored.</w:t>
      </w:r>
    </w:p>
    <w:p w14:paraId="438637CB" w14:textId="22D40A12" w:rsidR="00E3792F" w:rsidRDefault="00E3792F" w:rsidP="0071768E">
      <w:r>
        <w:lastRenderedPageBreak/>
        <w:t xml:space="preserve">The CPC and CPA candidate configurations are configured using the </w:t>
      </w:r>
      <w:proofErr w:type="spellStart"/>
      <w:r w:rsidRPr="00692948">
        <w:rPr>
          <w:i/>
          <w:iCs/>
        </w:rPr>
        <w:t>ConditionalReconfiguration</w:t>
      </w:r>
      <w:proofErr w:type="spellEnd"/>
      <w:r>
        <w:t xml:space="preserve"> IE, where each candidate configuration is provided to the UE as a </w:t>
      </w:r>
      <w:proofErr w:type="spellStart"/>
      <w:r w:rsidRPr="00D7601F">
        <w:rPr>
          <w:i/>
          <w:iCs/>
        </w:rPr>
        <w:t>CondReconfigToAddMod</w:t>
      </w:r>
      <w:proofErr w:type="spellEnd"/>
      <w:r>
        <w:t xml:space="preserve"> instance. </w:t>
      </w:r>
      <w:r w:rsidR="00467741">
        <w:t>Since Subsequent CPAC is an enhancement to CPA/CPC, t</w:t>
      </w:r>
      <w:r w:rsidR="00A07825">
        <w:t xml:space="preserve">hese should be reused for </w:t>
      </w:r>
      <w:r>
        <w:t>configur</w:t>
      </w:r>
      <w:r w:rsidR="00A07825">
        <w:t>ation</w:t>
      </w:r>
      <w:r>
        <w:t xml:space="preserve"> </w:t>
      </w:r>
      <w:r w:rsidR="00A07825">
        <w:t xml:space="preserve">of </w:t>
      </w:r>
      <w:r>
        <w:t xml:space="preserve">the candidate </w:t>
      </w:r>
      <w:proofErr w:type="spellStart"/>
      <w:r>
        <w:t>PSCell</w:t>
      </w:r>
      <w:proofErr w:type="spellEnd"/>
      <w:r>
        <w:t xml:space="preserve"> configurations for Subsequent CPAC</w:t>
      </w:r>
      <w:r w:rsidR="00467741">
        <w:t>.</w:t>
      </w:r>
      <w:r>
        <w:t xml:space="preserve"> </w:t>
      </w:r>
      <w:r w:rsidR="00467741">
        <w:t>S</w:t>
      </w:r>
      <w:r>
        <w:t xml:space="preserve">ome Rel-18 indication or information </w:t>
      </w:r>
      <w:r w:rsidR="00F73E4D">
        <w:t>need to</w:t>
      </w:r>
      <w:r w:rsidR="00467741">
        <w:t xml:space="preserve"> be included </w:t>
      </w:r>
      <w:r>
        <w:t xml:space="preserve">to indicate that the CPC/CPA configuration is for Subsequent CPAC, </w:t>
      </w:r>
      <w:proofErr w:type="gramStart"/>
      <w:r>
        <w:t>i.e.</w:t>
      </w:r>
      <w:proofErr w:type="gramEnd"/>
      <w:r>
        <w:t xml:space="preserve"> that it can be kept after a cell change procedure.</w:t>
      </w:r>
    </w:p>
    <w:p w14:paraId="1693E553" w14:textId="1AB6A5B0" w:rsidR="00E3792F" w:rsidRDefault="00E3792F" w:rsidP="00E3792F">
      <w:pPr>
        <w:pStyle w:val="Proposal"/>
      </w:pPr>
      <w:bookmarkStart w:id="2" w:name="_Toc142589277"/>
      <w:r>
        <w:t xml:space="preserve">Candidate configurations for Subsequent CPAC are provided with </w:t>
      </w:r>
      <w:proofErr w:type="spellStart"/>
      <w:r w:rsidRPr="00D7601F">
        <w:rPr>
          <w:i/>
          <w:iCs/>
        </w:rPr>
        <w:t>CondReconfigToAddMod</w:t>
      </w:r>
      <w:proofErr w:type="spellEnd"/>
      <w:r>
        <w:t xml:space="preserve"> in </w:t>
      </w:r>
      <w:proofErr w:type="spellStart"/>
      <w:r w:rsidRPr="00692948">
        <w:rPr>
          <w:i/>
          <w:iCs/>
        </w:rPr>
        <w:t>ConditionalReconfiguration</w:t>
      </w:r>
      <w:proofErr w:type="spellEnd"/>
      <w:r>
        <w:t>, by inclusion of related Rel-18 information.</w:t>
      </w:r>
      <w:bookmarkEnd w:id="2"/>
    </w:p>
    <w:p w14:paraId="656E5E4F" w14:textId="77777777" w:rsidR="00E3792F" w:rsidRDefault="00E3792F" w:rsidP="0071768E"/>
    <w:p w14:paraId="724B4B47" w14:textId="39099591" w:rsidR="007F22F7" w:rsidRDefault="007F22F7" w:rsidP="0071768E">
      <w:r w:rsidRPr="007F22F7">
        <w:t xml:space="preserve">With </w:t>
      </w:r>
      <w:r w:rsidR="00684BAE" w:rsidRPr="007F22F7">
        <w:t xml:space="preserve">the Subsequent CPAC </w:t>
      </w:r>
      <w:r w:rsidR="00AC2DAE" w:rsidRPr="007F22F7">
        <w:t>candidate</w:t>
      </w:r>
      <w:r w:rsidRPr="007F22F7">
        <w:t>s</w:t>
      </w:r>
      <w:r w:rsidR="00AC2DAE" w:rsidRPr="007F22F7">
        <w:t xml:space="preserve"> </w:t>
      </w:r>
      <w:r w:rsidRPr="007F22F7">
        <w:t xml:space="preserve">being </w:t>
      </w:r>
      <w:r w:rsidR="00684BAE" w:rsidRPr="007F22F7">
        <w:t xml:space="preserve">configured using </w:t>
      </w:r>
      <w:proofErr w:type="spellStart"/>
      <w:r w:rsidR="00684BAE" w:rsidRPr="007F22F7">
        <w:rPr>
          <w:i/>
          <w:iCs/>
        </w:rPr>
        <w:t>CondReconfigToAddMod</w:t>
      </w:r>
      <w:proofErr w:type="spellEnd"/>
      <w:r w:rsidR="00684BAE" w:rsidRPr="007F22F7">
        <w:t xml:space="preserve">, </w:t>
      </w:r>
      <w:r>
        <w:t xml:space="preserve">two options can be considered for provision of </w:t>
      </w:r>
      <w:r w:rsidR="00AC2DAE" w:rsidRPr="007F22F7">
        <w:t xml:space="preserve">execution conditions </w:t>
      </w:r>
      <w:r w:rsidRPr="007F22F7">
        <w:t xml:space="preserve">for </w:t>
      </w:r>
      <w:r w:rsidR="00E3792F">
        <w:t xml:space="preserve">the </w:t>
      </w:r>
      <w:r w:rsidRPr="007F22F7">
        <w:t>subsequent CPC (</w:t>
      </w:r>
      <w:proofErr w:type="gramStart"/>
      <w:r w:rsidRPr="007F22F7">
        <w:t>i.e.</w:t>
      </w:r>
      <w:proofErr w:type="gramEnd"/>
      <w:r w:rsidRPr="007F22F7">
        <w:t xml:space="preserve"> for other candidates)</w:t>
      </w:r>
      <w:r>
        <w:t>:</w:t>
      </w:r>
    </w:p>
    <w:p w14:paraId="589759D3" w14:textId="6BF43628" w:rsidR="00684BAE" w:rsidRDefault="00AC2DAE" w:rsidP="007F22F7">
      <w:pPr>
        <w:pStyle w:val="ListParagraph"/>
        <w:numPr>
          <w:ilvl w:val="0"/>
          <w:numId w:val="41"/>
        </w:numPr>
        <w:rPr>
          <w:rFonts w:ascii="Times New Roman" w:hAnsi="Times New Roman"/>
          <w:sz w:val="20"/>
          <w:szCs w:val="20"/>
        </w:rPr>
      </w:pPr>
      <w:r w:rsidRPr="007F22F7">
        <w:rPr>
          <w:rFonts w:ascii="Times New Roman" w:hAnsi="Times New Roman"/>
          <w:sz w:val="20"/>
          <w:szCs w:val="20"/>
        </w:rPr>
        <w:t>with</w:t>
      </w:r>
      <w:r w:rsidR="00684BAE" w:rsidRPr="007F22F7">
        <w:rPr>
          <w:rFonts w:ascii="Times New Roman" w:hAnsi="Times New Roman"/>
          <w:sz w:val="20"/>
          <w:szCs w:val="20"/>
        </w:rPr>
        <w:t xml:space="preserve">in the target configuration (i.e. within </w:t>
      </w:r>
      <w:proofErr w:type="spellStart"/>
      <w:r w:rsidR="00684BAE" w:rsidRPr="007F22F7">
        <w:rPr>
          <w:rFonts w:ascii="Times New Roman" w:hAnsi="Times New Roman"/>
          <w:i/>
          <w:iCs/>
          <w:sz w:val="20"/>
          <w:szCs w:val="20"/>
        </w:rPr>
        <w:t>condRRCReconfig</w:t>
      </w:r>
      <w:proofErr w:type="spellEnd"/>
      <w:r w:rsidR="00684BAE" w:rsidRPr="007F22F7">
        <w:rPr>
          <w:rFonts w:ascii="Times New Roman" w:hAnsi="Times New Roman"/>
          <w:sz w:val="20"/>
          <w:szCs w:val="20"/>
        </w:rPr>
        <w:t>)</w:t>
      </w:r>
    </w:p>
    <w:p w14:paraId="6B0AB0ED" w14:textId="75D21326" w:rsidR="007F22F7" w:rsidRPr="007F22F7" w:rsidRDefault="007F22F7" w:rsidP="007F22F7">
      <w:pPr>
        <w:pStyle w:val="ListParagraph"/>
        <w:numPr>
          <w:ilvl w:val="0"/>
          <w:numId w:val="41"/>
        </w:numPr>
        <w:rPr>
          <w:rFonts w:ascii="Times New Roman" w:hAnsi="Times New Roman"/>
          <w:sz w:val="20"/>
          <w:szCs w:val="20"/>
        </w:rPr>
      </w:pPr>
      <w:r w:rsidRPr="00CF739C">
        <w:rPr>
          <w:rFonts w:ascii="Times New Roman" w:hAnsi="Times New Roman"/>
          <w:sz w:val="20"/>
          <w:szCs w:val="20"/>
        </w:rPr>
        <w:t xml:space="preserve">directly </w:t>
      </w:r>
      <w:r w:rsidR="00B4169E">
        <w:rPr>
          <w:rFonts w:ascii="Times New Roman" w:hAnsi="Times New Roman"/>
          <w:sz w:val="20"/>
          <w:szCs w:val="20"/>
          <w:lang w:val="en-US"/>
        </w:rPr>
        <w:t>within</w:t>
      </w:r>
      <w:r w:rsidRPr="00CF739C">
        <w:rPr>
          <w:rFonts w:ascii="Times New Roman" w:hAnsi="Times New Roman"/>
          <w:sz w:val="20"/>
          <w:szCs w:val="20"/>
        </w:rPr>
        <w:t xml:space="preserve"> </w:t>
      </w:r>
      <w:proofErr w:type="spellStart"/>
      <w:r w:rsidRPr="00CF739C">
        <w:rPr>
          <w:rFonts w:ascii="Times New Roman" w:hAnsi="Times New Roman"/>
          <w:i/>
          <w:iCs/>
          <w:sz w:val="20"/>
          <w:szCs w:val="20"/>
        </w:rPr>
        <w:t>CondReconfigToAddMod</w:t>
      </w:r>
      <w:proofErr w:type="spellEnd"/>
    </w:p>
    <w:p w14:paraId="150E9E9D" w14:textId="77777777" w:rsidR="007F22F7" w:rsidRDefault="007F22F7" w:rsidP="0071768E">
      <w:pPr>
        <w:rPr>
          <w:color w:val="808080" w:themeColor="background1" w:themeShade="80"/>
        </w:rPr>
      </w:pPr>
    </w:p>
    <w:p w14:paraId="1253BAC7" w14:textId="4AB98075" w:rsidR="00895540" w:rsidRPr="00CD4E39" w:rsidRDefault="00AC2DAE" w:rsidP="00895540">
      <w:r w:rsidRPr="00A20205">
        <w:t xml:space="preserve">Since the execution conditions </w:t>
      </w:r>
      <w:r w:rsidR="007F22F7" w:rsidRPr="00A20205">
        <w:t xml:space="preserve">for subsequent CPC </w:t>
      </w:r>
      <w:r w:rsidRPr="00A20205">
        <w:t xml:space="preserve">concern other </w:t>
      </w:r>
      <w:r w:rsidR="007F22F7" w:rsidRPr="00A20205">
        <w:t xml:space="preserve">candidate </w:t>
      </w:r>
      <w:r w:rsidRPr="00A20205">
        <w:t xml:space="preserve">configurations, </w:t>
      </w:r>
      <w:proofErr w:type="gramStart"/>
      <w:r w:rsidRPr="00A20205">
        <w:t>i.e.</w:t>
      </w:r>
      <w:proofErr w:type="gramEnd"/>
      <w:r w:rsidRPr="00A20205">
        <w:t xml:space="preserve"> for other </w:t>
      </w:r>
      <w:proofErr w:type="spellStart"/>
      <w:r w:rsidRPr="00A20205">
        <w:rPr>
          <w:i/>
          <w:iCs/>
        </w:rPr>
        <w:t>CondReconfigToAddMod</w:t>
      </w:r>
      <w:proofErr w:type="spellEnd"/>
      <w:r w:rsidRPr="00A20205">
        <w:t xml:space="preserve"> instances, it would </w:t>
      </w:r>
      <w:r w:rsidR="007F22F7" w:rsidRPr="00A20205">
        <w:t xml:space="preserve">probably </w:t>
      </w:r>
      <w:r w:rsidRPr="00A20205">
        <w:t>be easie</w:t>
      </w:r>
      <w:r w:rsidR="00E3792F">
        <w:t>r</w:t>
      </w:r>
      <w:r w:rsidRPr="00A20205">
        <w:t xml:space="preserve"> to let </w:t>
      </w:r>
      <w:r w:rsidR="007F22F7" w:rsidRPr="00A20205">
        <w:t xml:space="preserve">them </w:t>
      </w:r>
      <w:r w:rsidRPr="00A20205">
        <w:t xml:space="preserve">be </w:t>
      </w:r>
      <w:r w:rsidR="007F22F7" w:rsidRPr="00A20205">
        <w:t xml:space="preserve">provided to the UE </w:t>
      </w:r>
      <w:r w:rsidRPr="00A20205">
        <w:t>outside the target configuration (</w:t>
      </w:r>
      <w:proofErr w:type="spellStart"/>
      <w:r w:rsidRPr="00A20205">
        <w:rPr>
          <w:i/>
          <w:iCs/>
        </w:rPr>
        <w:t>condRRCReconfig</w:t>
      </w:r>
      <w:proofErr w:type="spellEnd"/>
      <w:r w:rsidRPr="00A20205">
        <w:t>)</w:t>
      </w:r>
      <w:r w:rsidR="007F22F7" w:rsidRPr="00A20205">
        <w:t>, i.e.</w:t>
      </w:r>
      <w:r w:rsidRPr="00A20205">
        <w:t xml:space="preserve"> directly</w:t>
      </w:r>
      <w:r w:rsidRPr="00A20205" w:rsidDel="00D32346">
        <w:t xml:space="preserve"> </w:t>
      </w:r>
      <w:r w:rsidR="00D32346">
        <w:t>within</w:t>
      </w:r>
      <w:r w:rsidRPr="00A20205">
        <w:t xml:space="preserve"> </w:t>
      </w:r>
      <w:proofErr w:type="spellStart"/>
      <w:r w:rsidRPr="00A20205">
        <w:rPr>
          <w:i/>
          <w:iCs/>
        </w:rPr>
        <w:t>CondReconfigToAddMod</w:t>
      </w:r>
      <w:proofErr w:type="spellEnd"/>
      <w:r w:rsidRPr="00A20205">
        <w:t xml:space="preserve">. That way it is </w:t>
      </w:r>
      <w:proofErr w:type="gramStart"/>
      <w:r w:rsidR="00FE4022" w:rsidRPr="00A20205">
        <w:t>e.g.</w:t>
      </w:r>
      <w:proofErr w:type="gramEnd"/>
      <w:r w:rsidR="00FE4022" w:rsidRPr="00A20205">
        <w:t xml:space="preserve"> </w:t>
      </w:r>
      <w:r w:rsidRPr="00A20205">
        <w:t xml:space="preserve">possible to </w:t>
      </w:r>
      <w:r w:rsidR="00E3792F">
        <w:t xml:space="preserve">just update or </w:t>
      </w:r>
      <w:r w:rsidRPr="00A20205">
        <w:t xml:space="preserve">remove </w:t>
      </w:r>
      <w:r w:rsidR="00E3792F">
        <w:t xml:space="preserve">the </w:t>
      </w:r>
      <w:r w:rsidRPr="00A20205">
        <w:t xml:space="preserve">execution conditions without </w:t>
      </w:r>
      <w:r w:rsidR="00E3792F">
        <w:t xml:space="preserve">updating </w:t>
      </w:r>
      <w:r w:rsidRPr="00A20205">
        <w:t>the target configuration.</w:t>
      </w:r>
      <w:r w:rsidR="00235969" w:rsidRPr="00A20205">
        <w:t xml:space="preserve"> </w:t>
      </w:r>
      <w:r w:rsidR="00E3792F">
        <w:t>By having the updated execution conditions part of the target configuration (</w:t>
      </w:r>
      <w:proofErr w:type="gramStart"/>
      <w:r w:rsidR="00E3792F">
        <w:t>i.e.</w:t>
      </w:r>
      <w:proofErr w:type="gramEnd"/>
      <w:r w:rsidR="00E3792F">
        <w:t xml:space="preserve"> within </w:t>
      </w:r>
      <w:proofErr w:type="spellStart"/>
      <w:r w:rsidR="00E3792F" w:rsidRPr="007F22F7">
        <w:rPr>
          <w:i/>
          <w:iCs/>
        </w:rPr>
        <w:t>condRRCReconfig</w:t>
      </w:r>
      <w:proofErr w:type="spellEnd"/>
      <w:r w:rsidR="00E3792F">
        <w:t xml:space="preserve">) would rather correspond to that the whole target configuration would need to be resent in case of a change. We therefore slightly prefer to let the execution conditions for subsequent CPC (for other candidates) be included directly </w:t>
      </w:r>
      <w:r w:rsidR="00E3792F" w:rsidRPr="00A20205">
        <w:t xml:space="preserve">under </w:t>
      </w:r>
      <w:proofErr w:type="spellStart"/>
      <w:r w:rsidR="00E3792F" w:rsidRPr="00A20205">
        <w:rPr>
          <w:i/>
          <w:iCs/>
        </w:rPr>
        <w:t>CondReconfigToAddMod</w:t>
      </w:r>
      <w:proofErr w:type="spellEnd"/>
      <w:r w:rsidR="00E3792F">
        <w:t>.</w:t>
      </w:r>
    </w:p>
    <w:p w14:paraId="233A8505" w14:textId="064A3848" w:rsidR="00895540" w:rsidRDefault="00895540" w:rsidP="00895540">
      <w:pPr>
        <w:pStyle w:val="Proposal"/>
      </w:pPr>
      <w:bookmarkStart w:id="3" w:name="_Toc134532427"/>
      <w:bookmarkStart w:id="4" w:name="_Toc142589278"/>
      <w:r>
        <w:t xml:space="preserve">The network can, in the </w:t>
      </w:r>
      <w:proofErr w:type="spellStart"/>
      <w:r w:rsidRPr="00D7601F">
        <w:rPr>
          <w:i/>
          <w:iCs/>
        </w:rPr>
        <w:t>CondReconfigToAddMod</w:t>
      </w:r>
      <w:proofErr w:type="spellEnd"/>
      <w:r>
        <w:t xml:space="preserve"> for the executed candidate configuration, indicate updates of execution conditions for the other candidate configurations at the execution (</w:t>
      </w:r>
      <w:proofErr w:type="gramStart"/>
      <w:r>
        <w:t>i.e.</w:t>
      </w:r>
      <w:proofErr w:type="gramEnd"/>
      <w:r>
        <w:t xml:space="preserve"> for subsequent CPC).</w:t>
      </w:r>
      <w:bookmarkEnd w:id="3"/>
      <w:bookmarkEnd w:id="4"/>
    </w:p>
    <w:p w14:paraId="45532EE3" w14:textId="77777777" w:rsidR="00895540" w:rsidRPr="00A20205" w:rsidRDefault="00895540" w:rsidP="00B93BF6"/>
    <w:p w14:paraId="1D90CEFF" w14:textId="03542704" w:rsidR="0071768E" w:rsidRPr="00A20205" w:rsidRDefault="00895540" w:rsidP="00A30A3E">
      <w:r>
        <w:t>T</w:t>
      </w:r>
      <w:r w:rsidRPr="00A20205">
        <w:t xml:space="preserve">he candidate SN </w:t>
      </w:r>
      <w:r>
        <w:t xml:space="preserve">would </w:t>
      </w:r>
      <w:r w:rsidRPr="00A20205">
        <w:t>then need to provide the execution conditions for subsequent CPC to the MN, so that the MN can include them in the configuration to the UE.</w:t>
      </w:r>
      <w:r>
        <w:t xml:space="preserve"> </w:t>
      </w:r>
      <w:r w:rsidR="00FE4022" w:rsidRPr="00A20205">
        <w:t xml:space="preserve">A </w:t>
      </w:r>
      <w:proofErr w:type="gramStart"/>
      <w:r w:rsidR="00FE4022" w:rsidRPr="00A20205">
        <w:t>high level</w:t>
      </w:r>
      <w:proofErr w:type="gramEnd"/>
      <w:r w:rsidR="00FE4022" w:rsidRPr="00A20205">
        <w:t xml:space="preserve"> signalling flow for this can be seen in </w:t>
      </w:r>
      <w:r w:rsidR="00FE4022" w:rsidRPr="00A20205">
        <w:fldChar w:fldCharType="begin"/>
      </w:r>
      <w:r w:rsidR="00FE4022" w:rsidRPr="00A20205">
        <w:instrText xml:space="preserve"> REF _Ref142255097 \h </w:instrText>
      </w:r>
      <w:r w:rsidR="00FE4022" w:rsidRPr="00A20205">
        <w:fldChar w:fldCharType="separate"/>
      </w:r>
      <w:r w:rsidR="00FE4022" w:rsidRPr="00A20205">
        <w:t xml:space="preserve">Figure </w:t>
      </w:r>
      <w:r w:rsidR="00FE4022" w:rsidRPr="00A20205">
        <w:rPr>
          <w:noProof/>
        </w:rPr>
        <w:t>1</w:t>
      </w:r>
      <w:r w:rsidR="00FE4022" w:rsidRPr="00A20205">
        <w:fldChar w:fldCharType="end"/>
      </w:r>
      <w:r w:rsidR="00FE4022" w:rsidRPr="00A20205">
        <w:t xml:space="preserve"> below</w:t>
      </w:r>
      <w:r w:rsidR="0045157A" w:rsidRPr="00A20205">
        <w:t xml:space="preserve"> </w:t>
      </w:r>
      <w:r w:rsidR="00E3792F">
        <w:t>where t</w:t>
      </w:r>
      <w:r w:rsidR="0045157A" w:rsidRPr="00A20205">
        <w:t xml:space="preserve">he MN, in the request to the candidate target SN (T-SN), provides information about other candidate target </w:t>
      </w:r>
      <w:proofErr w:type="spellStart"/>
      <w:r w:rsidR="0045157A" w:rsidRPr="00A20205">
        <w:t>PSCells</w:t>
      </w:r>
      <w:proofErr w:type="spellEnd"/>
      <w:r w:rsidR="0045157A" w:rsidRPr="00A20205">
        <w:t xml:space="preserve"> (for subsequent CPAC). The candidate T-SN generates the corresponding execution conditions (applicable when/if the UE moves to the candidate </w:t>
      </w:r>
      <w:proofErr w:type="spellStart"/>
      <w:r w:rsidR="0045157A" w:rsidRPr="00A20205">
        <w:t>PSCell</w:t>
      </w:r>
      <w:proofErr w:type="spellEnd"/>
      <w:r w:rsidR="0045157A" w:rsidRPr="00A20205">
        <w:t xml:space="preserve"> in that candidate T-SN) and provides them to the MN together with the associated target configuration for the candidate </w:t>
      </w:r>
      <w:proofErr w:type="spellStart"/>
      <w:r w:rsidR="0045157A" w:rsidRPr="00A20205">
        <w:t>PSCell</w:t>
      </w:r>
      <w:proofErr w:type="spellEnd"/>
      <w:r w:rsidR="0045157A" w:rsidRPr="00A20205">
        <w:t xml:space="preserve"> in the candidate T-SN. </w:t>
      </w:r>
      <w:r w:rsidR="002B0A21" w:rsidRPr="00A20205">
        <w:t xml:space="preserve">The MN then provides them to the UE </w:t>
      </w:r>
      <w:r w:rsidR="0045157A" w:rsidRPr="00A20205">
        <w:t xml:space="preserve">with </w:t>
      </w:r>
      <w:r w:rsidR="002B0A21" w:rsidRPr="00A20205">
        <w:t>the conditional reconfiguration(s).</w:t>
      </w:r>
    </w:p>
    <w:p w14:paraId="4E9DB7A4" w14:textId="77777777" w:rsidR="00FE4022" w:rsidRDefault="00FE4022" w:rsidP="00FE4022">
      <w:pPr>
        <w:keepNext/>
      </w:pPr>
      <w:r>
        <w:rPr>
          <w:noProof/>
        </w:rPr>
        <w:lastRenderedPageBreak/>
        <w:drawing>
          <wp:inline distT="0" distB="0" distL="0" distR="0" wp14:anchorId="5DCF640F" wp14:editId="32F89DDD">
            <wp:extent cx="6031669" cy="4266341"/>
            <wp:effectExtent l="0" t="0" r="7620" b="127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8950" cy="4278564"/>
                    </a:xfrm>
                    <a:prstGeom prst="rect">
                      <a:avLst/>
                    </a:prstGeom>
                    <a:noFill/>
                  </pic:spPr>
                </pic:pic>
              </a:graphicData>
            </a:graphic>
          </wp:inline>
        </w:drawing>
      </w:r>
    </w:p>
    <w:p w14:paraId="48D522B2" w14:textId="75379CD6" w:rsidR="00FE4022" w:rsidRDefault="00FE4022" w:rsidP="00FE4022">
      <w:pPr>
        <w:pStyle w:val="Caption"/>
      </w:pPr>
      <w:bookmarkStart w:id="5" w:name="_Ref142255097"/>
      <w:r>
        <w:t xml:space="preserve">Figure </w:t>
      </w:r>
      <w:fldSimple w:instr=" SEQ Figure \* ARABIC ">
        <w:r>
          <w:rPr>
            <w:noProof/>
          </w:rPr>
          <w:t>1</w:t>
        </w:r>
      </w:fldSimple>
      <w:bookmarkEnd w:id="5"/>
      <w:r>
        <w:t xml:space="preserve"> Signalling flow for provision of execution conditions from candidate SN to UE (for SN-initiated Subsequent CPAC)</w:t>
      </w:r>
    </w:p>
    <w:p w14:paraId="100A83A1" w14:textId="0DCFF8DE" w:rsidR="0071768E" w:rsidRDefault="0071768E" w:rsidP="00A30A3E"/>
    <w:p w14:paraId="68EF3659" w14:textId="6559E3B2" w:rsidR="00895540" w:rsidRDefault="00895540" w:rsidP="00A30A3E">
      <w:r>
        <w:t>We thus propose that the MN includes information about other Subsequent CPAC candidates to the candidate T-SN in the configuration procedure, and that the candidate T-SN provides the corresponding execution conditions for subsequent CPC to the MN.</w:t>
      </w:r>
      <w:r w:rsidR="0087529D">
        <w:t xml:space="preserve"> </w:t>
      </w:r>
      <w:r w:rsidR="008B5AEC">
        <w:t>The provision of the execution conditions could be included in the inter-node RRC message (</w:t>
      </w:r>
      <w:proofErr w:type="gramStart"/>
      <w:r w:rsidR="008B5AEC">
        <w:t>e.g.</w:t>
      </w:r>
      <w:proofErr w:type="gramEnd"/>
      <w:r w:rsidR="008B5AEC">
        <w:t xml:space="preserve"> in the </w:t>
      </w:r>
      <w:r w:rsidR="008B5AEC" w:rsidRPr="008B5AEC">
        <w:rPr>
          <w:i/>
          <w:iCs/>
        </w:rPr>
        <w:t>CG-</w:t>
      </w:r>
      <w:proofErr w:type="spellStart"/>
      <w:r w:rsidR="008B5AEC">
        <w:rPr>
          <w:i/>
          <w:iCs/>
        </w:rPr>
        <w:t>CandidateList</w:t>
      </w:r>
      <w:proofErr w:type="spellEnd"/>
      <w:r w:rsidR="008B5AEC">
        <w:t xml:space="preserve"> or in the </w:t>
      </w:r>
      <w:r w:rsidR="008B5AEC" w:rsidRPr="008B5AEC">
        <w:rPr>
          <w:i/>
          <w:iCs/>
        </w:rPr>
        <w:t>CG-Config</w:t>
      </w:r>
      <w:r w:rsidR="008B5AEC">
        <w:t xml:space="preserve">). </w:t>
      </w:r>
      <w:r w:rsidR="0087529D">
        <w:t>The signalling details should be coordinated with RAN3.</w:t>
      </w:r>
    </w:p>
    <w:p w14:paraId="20F3BCD8" w14:textId="75A76FC7" w:rsidR="00CD4E39" w:rsidRDefault="00895540" w:rsidP="00CD4E39">
      <w:pPr>
        <w:pStyle w:val="Proposal"/>
      </w:pPr>
      <w:bookmarkStart w:id="6" w:name="_Toc142589279"/>
      <w:r>
        <w:t xml:space="preserve">During the configuration of Subsequent CPAC, the MN provides information about other Subsequent CPAC candidates to the candidate T-SN (for subsequent CPC). The candidate T-SN includes the corresponding execution conditions for subsequent CPC in </w:t>
      </w:r>
      <w:r w:rsidR="00937871">
        <w:t xml:space="preserve">the </w:t>
      </w:r>
      <w:r w:rsidR="008B5AEC">
        <w:t xml:space="preserve">response inter-node RRC messages </w:t>
      </w:r>
      <w:r>
        <w:t>to the MN.</w:t>
      </w:r>
      <w:bookmarkEnd w:id="6"/>
    </w:p>
    <w:p w14:paraId="7150103B" w14:textId="77777777" w:rsidR="00CD4E39" w:rsidRDefault="00CD4E39" w:rsidP="00A30A3E"/>
    <w:p w14:paraId="61290816" w14:textId="5544406B" w:rsidR="0045157A" w:rsidRPr="00B4169E" w:rsidRDefault="0045157A" w:rsidP="00A30A3E">
      <w:r>
        <w:t>At RAN2#122 it was left FFS if the c</w:t>
      </w:r>
      <w:r w:rsidRPr="003B55DE">
        <w:t xml:space="preserve">andidate SN </w:t>
      </w:r>
      <w:r>
        <w:t xml:space="preserve">can </w:t>
      </w:r>
      <w:r w:rsidRPr="003B55DE">
        <w:t xml:space="preserve">generate </w:t>
      </w:r>
      <w:r>
        <w:t xml:space="preserve">the </w:t>
      </w:r>
      <w:r w:rsidRPr="003B55DE">
        <w:t>execution conditions for subsequent CPC</w:t>
      </w:r>
      <w:r>
        <w:t xml:space="preserve"> also in case of </w:t>
      </w:r>
      <w:r w:rsidRPr="00D01409">
        <w:t>MN-initiated CPAC</w:t>
      </w:r>
      <w:r>
        <w:t>.</w:t>
      </w:r>
      <w:r w:rsidR="00B4169E">
        <w:t xml:space="preserve"> The same signalling as described above </w:t>
      </w:r>
      <w:r w:rsidR="00A20205">
        <w:t xml:space="preserve">for SN-initiated Subsequent CPAC (between MN and candidate T-SN and towards the UE) can be used </w:t>
      </w:r>
      <w:r w:rsidR="00B4169E">
        <w:t xml:space="preserve">also for MN-initiated Subsequent CPAC, </w:t>
      </w:r>
      <w:proofErr w:type="gramStart"/>
      <w:r w:rsidR="00B4169E">
        <w:t>i.e.</w:t>
      </w:r>
      <w:proofErr w:type="gramEnd"/>
      <w:r w:rsidR="00B4169E">
        <w:t xml:space="preserve"> </w:t>
      </w:r>
      <w:r w:rsidR="00A20205">
        <w:t>where it is the MN that does the initial configuration</w:t>
      </w:r>
      <w:r w:rsidR="00B4169E">
        <w:t>.</w:t>
      </w:r>
      <w:r w:rsidR="00D03353">
        <w:t xml:space="preserve"> To support that the candidate T-SN can generate the execution conditions also for MN-initiated Subsequent CPAC should thus be possible with only minor additional impact, if any at all.</w:t>
      </w:r>
    </w:p>
    <w:p w14:paraId="1D2DA649" w14:textId="5A4EE07A" w:rsidR="00A30A3E" w:rsidRPr="007D4F39" w:rsidRDefault="00A30A3E" w:rsidP="00A30A3E">
      <w:r>
        <w:t xml:space="preserve">At </w:t>
      </w:r>
      <w:r w:rsidRPr="007D4F39">
        <w:t>RAN2#</w:t>
      </w:r>
      <w:r>
        <w:t>121</w:t>
      </w:r>
      <w:r w:rsidRPr="007D4F39">
        <w:t xml:space="preserve"> </w:t>
      </w:r>
      <w:r>
        <w:t xml:space="preserve">the following assumption was </w:t>
      </w:r>
      <w:r w:rsidR="00D03353">
        <w:t xml:space="preserve">also </w:t>
      </w:r>
      <w:r>
        <w:t>reached regarding reuse of CPA/CPC configurations</w:t>
      </w:r>
      <w:r w:rsidRPr="007D4F39">
        <w:t>:</w:t>
      </w:r>
    </w:p>
    <w:p w14:paraId="7B50F24B" w14:textId="77777777" w:rsidR="00A30A3E" w:rsidRPr="001132E5" w:rsidRDefault="00A30A3E" w:rsidP="00A30A3E">
      <w:pPr>
        <w:pStyle w:val="Agreement"/>
        <w:tabs>
          <w:tab w:val="clear" w:pos="1494"/>
          <w:tab w:val="num" w:pos="927"/>
        </w:tabs>
        <w:ind w:left="927"/>
      </w:pPr>
      <w:r w:rsidRPr="001132E5">
        <w:t>R2 assumes that a CPA conditional configuration can be used for CPC (but with different triggering conditions)</w:t>
      </w:r>
    </w:p>
    <w:p w14:paraId="0CA1D93F" w14:textId="77777777" w:rsidR="00A30A3E" w:rsidRDefault="00A30A3E" w:rsidP="00B93BF6"/>
    <w:p w14:paraId="1BB78D5F" w14:textId="032B11FE" w:rsidR="007B45E4" w:rsidRDefault="00A30A3E" w:rsidP="007B45E4">
      <w:r>
        <w:t>The MN-initiated scenarios thus include that the MN configures the UE with CPA configurations, which then are to be used for subsequent CPC.</w:t>
      </w:r>
      <w:r w:rsidR="00D03353">
        <w:t xml:space="preserve"> The triggering/execution conditions should however be different for CPA and for CPC. By including execution conditions for subsequent CPC together with the Subsequent CPAC configurations, </w:t>
      </w:r>
      <w:r w:rsidR="00965FB7">
        <w:t xml:space="preserve">as described above, </w:t>
      </w:r>
      <w:r w:rsidR="00D03353">
        <w:t xml:space="preserve">different execution conditions for CPA and CPC will then </w:t>
      </w:r>
      <w:r w:rsidR="00965FB7">
        <w:t xml:space="preserve">also </w:t>
      </w:r>
      <w:r w:rsidR="00D03353">
        <w:t>be achieved</w:t>
      </w:r>
      <w:r w:rsidR="00965FB7">
        <w:t>.</w:t>
      </w:r>
      <w:r>
        <w:t xml:space="preserve"> </w:t>
      </w:r>
      <w:r w:rsidR="00965FB7">
        <w:t xml:space="preserve">A UE would then be configured </w:t>
      </w:r>
      <w:r w:rsidR="00965FB7">
        <w:lastRenderedPageBreak/>
        <w:t xml:space="preserve">with CPA configurations (for Subsequent CPAC), with execution conditions that are specific for CPA (A4 events). When applying one of </w:t>
      </w:r>
      <w:proofErr w:type="gramStart"/>
      <w:r w:rsidR="00965FB7">
        <w:t>those CPA configuration</w:t>
      </w:r>
      <w:proofErr w:type="gramEnd"/>
      <w:r w:rsidR="00965FB7">
        <w:t xml:space="preserve"> the UE would then also apply the associated execution conditions for subsequent CPC to the other candidate </w:t>
      </w:r>
      <w:proofErr w:type="spellStart"/>
      <w:r w:rsidR="00965FB7">
        <w:t>PSCells</w:t>
      </w:r>
      <w:proofErr w:type="spellEnd"/>
      <w:r w:rsidR="00965FB7">
        <w:t xml:space="preserve">, which then would be specific for CPC (A3 or A5). </w:t>
      </w:r>
      <w:r w:rsidR="00F01783">
        <w:t xml:space="preserve">This would be achieved by letting the candidate T-SN generate the execution conditions for subsequent CPC in case of MN-initiated Subsequent CPAC consisting of initial CPA configurations. </w:t>
      </w:r>
      <w:r>
        <w:t xml:space="preserve">We thus propose that the candidate SN can generate execution conditions for subsequent CPC </w:t>
      </w:r>
      <w:r w:rsidR="00F01783">
        <w:t xml:space="preserve">also for </w:t>
      </w:r>
      <w:r>
        <w:t>MN-initiated scenarios.</w:t>
      </w:r>
    </w:p>
    <w:p w14:paraId="2CC9559F" w14:textId="1C5213B3" w:rsidR="00B90FD7" w:rsidRDefault="00B90FD7" w:rsidP="007B45E4">
      <w:pPr>
        <w:pStyle w:val="Observation"/>
      </w:pPr>
      <w:bookmarkStart w:id="7" w:name="_Toc142589274"/>
      <w:r>
        <w:t>If the candidate SN generates execution conditions for subsequent CPC in case of MN-initiated CPA</w:t>
      </w:r>
      <w:r w:rsidR="007468CB">
        <w:t>,</w:t>
      </w:r>
      <w:r>
        <w:t xml:space="preserve"> different triggering conditions will be achieved for CPA and CPC.</w:t>
      </w:r>
      <w:bookmarkEnd w:id="7"/>
    </w:p>
    <w:p w14:paraId="27816A38" w14:textId="7378D301" w:rsidR="00A30A3E" w:rsidRDefault="00A30A3E" w:rsidP="00A30A3E">
      <w:pPr>
        <w:pStyle w:val="Proposal"/>
      </w:pPr>
      <w:bookmarkStart w:id="8" w:name="_Toc142589280"/>
      <w:r>
        <w:t>The candidate SN can generate execution conditions for subsequent CPC</w:t>
      </w:r>
      <w:r w:rsidR="00A20205">
        <w:t xml:space="preserve"> </w:t>
      </w:r>
      <w:r w:rsidR="00F01783">
        <w:t xml:space="preserve">also </w:t>
      </w:r>
      <w:r>
        <w:t>for MN-initiated scenarios.</w:t>
      </w:r>
      <w:bookmarkEnd w:id="8"/>
    </w:p>
    <w:p w14:paraId="39D9622D" w14:textId="2A11B295" w:rsidR="00A30A3E" w:rsidRDefault="00A30A3E" w:rsidP="007B45E4"/>
    <w:p w14:paraId="00FAECEC" w14:textId="2E8B76EE" w:rsidR="00A07825" w:rsidRDefault="006015B4" w:rsidP="007B45E4">
      <w:r w:rsidRPr="006015B4">
        <w:t>There is still the following FFS from the RAN2#119bis meeting “FFS if UE keeps all configurations or if those are indicated by the network”.</w:t>
      </w:r>
      <w:r w:rsidR="00A07825">
        <w:t xml:space="preserve"> As the UE moves between different serving </w:t>
      </w:r>
      <w:proofErr w:type="spellStart"/>
      <w:r w:rsidR="00A07825">
        <w:t>PSCells</w:t>
      </w:r>
      <w:proofErr w:type="spellEnd"/>
      <w:r w:rsidR="00A07825">
        <w:t xml:space="preserve"> the candidate cells for CPC would typically also change. It should therefore be possible to then release candidate configurations for Subsequent CPAC.</w:t>
      </w:r>
    </w:p>
    <w:p w14:paraId="6D50783F" w14:textId="3785CC57" w:rsidR="00A07825" w:rsidRPr="000410C7" w:rsidRDefault="00A07825" w:rsidP="007B45E4">
      <w:r w:rsidRPr="000410C7">
        <w:t xml:space="preserve">There may then also be some candidate </w:t>
      </w:r>
      <w:proofErr w:type="spellStart"/>
      <w:r w:rsidRPr="000410C7">
        <w:t>PSCells</w:t>
      </w:r>
      <w:proofErr w:type="spellEnd"/>
      <w:r w:rsidRPr="000410C7">
        <w:t xml:space="preserve"> that are not relevant candidates in the specific </w:t>
      </w:r>
      <w:proofErr w:type="spellStart"/>
      <w:r w:rsidRPr="000410C7">
        <w:t>PSCell</w:t>
      </w:r>
      <w:proofErr w:type="spellEnd"/>
      <w:r w:rsidRPr="000410C7">
        <w:t xml:space="preserve"> where the UE is currently located, but that are likely to be relevant candidates in case the UE </w:t>
      </w:r>
      <w:proofErr w:type="gramStart"/>
      <w:r w:rsidR="000410C7" w:rsidRPr="000410C7">
        <w:t>later on</w:t>
      </w:r>
      <w:proofErr w:type="gramEnd"/>
      <w:r w:rsidR="000410C7" w:rsidRPr="000410C7">
        <w:t xml:space="preserve"> moves to another </w:t>
      </w:r>
      <w:proofErr w:type="spellStart"/>
      <w:r w:rsidR="000410C7" w:rsidRPr="000410C7">
        <w:t>PSCell</w:t>
      </w:r>
      <w:proofErr w:type="spellEnd"/>
      <w:r w:rsidRPr="000410C7">
        <w:t xml:space="preserve">. </w:t>
      </w:r>
      <w:r w:rsidR="000410C7" w:rsidRPr="000410C7">
        <w:t>I</w:t>
      </w:r>
      <w:r w:rsidRPr="000410C7">
        <w:t xml:space="preserve">t would </w:t>
      </w:r>
      <w:r w:rsidR="000410C7" w:rsidRPr="000410C7">
        <w:t xml:space="preserve">then be </w:t>
      </w:r>
      <w:r w:rsidRPr="000410C7">
        <w:t xml:space="preserve">preferable to </w:t>
      </w:r>
      <w:r w:rsidR="000410C7" w:rsidRPr="000410C7">
        <w:t xml:space="preserve">let the UE </w:t>
      </w:r>
      <w:r w:rsidRPr="000410C7">
        <w:t>keep those candidate configurations</w:t>
      </w:r>
      <w:r w:rsidR="000410C7" w:rsidRPr="000410C7">
        <w:t>,</w:t>
      </w:r>
      <w:r w:rsidRPr="000410C7">
        <w:t xml:space="preserve"> to avoid the need to reconfigure them again soon afterwards</w:t>
      </w:r>
      <w:r w:rsidR="000410C7" w:rsidRPr="000410C7">
        <w:t xml:space="preserve">, but </w:t>
      </w:r>
      <w:r w:rsidRPr="000410C7">
        <w:t xml:space="preserve">to </w:t>
      </w:r>
      <w:r w:rsidR="000410C7" w:rsidRPr="000410C7">
        <w:t xml:space="preserve">skip </w:t>
      </w:r>
      <w:r w:rsidRPr="000410C7">
        <w:t>perform</w:t>
      </w:r>
      <w:r w:rsidR="000410C7" w:rsidRPr="000410C7">
        <w:t>ing</w:t>
      </w:r>
      <w:r w:rsidRPr="000410C7">
        <w:t xml:space="preserve"> measurements and evaluation for </w:t>
      </w:r>
      <w:r w:rsidR="000410C7" w:rsidRPr="000410C7">
        <w:t xml:space="preserve">them where </w:t>
      </w:r>
      <w:r w:rsidRPr="000410C7">
        <w:t xml:space="preserve">it </w:t>
      </w:r>
      <w:r w:rsidR="000410C7" w:rsidRPr="000410C7">
        <w:t xml:space="preserve">they are </w:t>
      </w:r>
      <w:r w:rsidRPr="000410C7">
        <w:t>not considered relevant</w:t>
      </w:r>
      <w:r w:rsidR="000410C7" w:rsidRPr="000410C7">
        <w:t xml:space="preserve">. It </w:t>
      </w:r>
      <w:r w:rsidRPr="000410C7">
        <w:t xml:space="preserve">should </w:t>
      </w:r>
      <w:r w:rsidR="000410C7" w:rsidRPr="000410C7">
        <w:t xml:space="preserve">therefore </w:t>
      </w:r>
      <w:r w:rsidRPr="000410C7">
        <w:t>be possible for the network to indicate that a candidate configuration is not applicable</w:t>
      </w:r>
      <w:r w:rsidR="000410C7" w:rsidRPr="000410C7">
        <w:t xml:space="preserve"> and that the UE does then not perform any </w:t>
      </w:r>
      <w:r w:rsidRPr="000410C7">
        <w:t>evaluat</w:t>
      </w:r>
      <w:r w:rsidR="000410C7" w:rsidRPr="000410C7">
        <w:t>ion of it</w:t>
      </w:r>
      <w:r w:rsidRPr="000410C7">
        <w:t>.</w:t>
      </w:r>
    </w:p>
    <w:p w14:paraId="03FCC7A3" w14:textId="4D859AEB" w:rsidR="006015B4" w:rsidRPr="00A07825" w:rsidRDefault="00A07825" w:rsidP="007B45E4">
      <w:r>
        <w:t>Similar to the indication of execution conditions for subsequent CPC, as discussed above, also the subsequent hand</w:t>
      </w:r>
      <w:r w:rsidR="00A056F8">
        <w:t>l</w:t>
      </w:r>
      <w:r>
        <w:t xml:space="preserve">ing of the other candidate Subsequent CPAC configurations, </w:t>
      </w:r>
      <w:proofErr w:type="gramStart"/>
      <w:r>
        <w:t>i.e.</w:t>
      </w:r>
      <w:proofErr w:type="gramEnd"/>
      <w:r>
        <w:t xml:space="preserve"> whether they are to be kept or released and, in case a configuration is to be kept, whether it should be considered as applicable or not, should then also be included in </w:t>
      </w:r>
      <w:proofErr w:type="spellStart"/>
      <w:r w:rsidRPr="00D7601F">
        <w:rPr>
          <w:i/>
          <w:iCs/>
        </w:rPr>
        <w:t>CondReconfigToAddMod</w:t>
      </w:r>
      <w:proofErr w:type="spellEnd"/>
      <w:r>
        <w:t>.</w:t>
      </w:r>
    </w:p>
    <w:p w14:paraId="60705C14" w14:textId="6936CF5E" w:rsidR="005C4499" w:rsidRDefault="005C4499" w:rsidP="005C4499">
      <w:pPr>
        <w:pStyle w:val="Proposal"/>
      </w:pPr>
      <w:bookmarkStart w:id="9" w:name="_Toc134532428"/>
      <w:bookmarkStart w:id="10" w:name="_Toc142589281"/>
      <w:r>
        <w:t xml:space="preserve">The network </w:t>
      </w:r>
      <w:r w:rsidR="00E04F9C">
        <w:t>should</w:t>
      </w:r>
      <w:r>
        <w:t xml:space="preserve">, in </w:t>
      </w:r>
      <w:proofErr w:type="spellStart"/>
      <w:r w:rsidRPr="00D7601F">
        <w:rPr>
          <w:i/>
          <w:iCs/>
        </w:rPr>
        <w:t>CondReconfigToAddMod</w:t>
      </w:r>
      <w:proofErr w:type="spellEnd"/>
      <w:r>
        <w:t xml:space="preserve">, </w:t>
      </w:r>
      <w:r w:rsidR="00E04F9C">
        <w:t xml:space="preserve">be able to </w:t>
      </w:r>
      <w:r>
        <w:t xml:space="preserve">indicate whether the UE should keep or release the other stored candidate configurations </w:t>
      </w:r>
      <w:r w:rsidR="00E04F9C">
        <w:t>for subsequent CPC</w:t>
      </w:r>
      <w:r>
        <w:t>.</w:t>
      </w:r>
      <w:bookmarkEnd w:id="9"/>
      <w:bookmarkEnd w:id="10"/>
    </w:p>
    <w:p w14:paraId="518962ED" w14:textId="200B6526" w:rsidR="005C4499" w:rsidRDefault="00E04F9C" w:rsidP="005C4499">
      <w:pPr>
        <w:pStyle w:val="Proposal"/>
      </w:pPr>
      <w:bookmarkStart w:id="11" w:name="_Toc134532429"/>
      <w:bookmarkStart w:id="12" w:name="_Toc142589282"/>
      <w:r>
        <w:t xml:space="preserve">It should be possible for the network to </w:t>
      </w:r>
      <w:r w:rsidR="005C4499">
        <w:t xml:space="preserve">indicate that </w:t>
      </w:r>
      <w:r>
        <w:t xml:space="preserve">a </w:t>
      </w:r>
      <w:r w:rsidR="005C4499">
        <w:t xml:space="preserve">candidate configuration </w:t>
      </w:r>
      <w:r>
        <w:t xml:space="preserve">that is kept </w:t>
      </w:r>
      <w:r w:rsidR="005C4499">
        <w:t>should be considered as not applicable. A not applicable candidate configuration should not be evaluated by the UE.</w:t>
      </w:r>
      <w:bookmarkEnd w:id="11"/>
      <w:bookmarkEnd w:id="12"/>
    </w:p>
    <w:p w14:paraId="3934BC2B" w14:textId="2239BEDE" w:rsidR="00150A53" w:rsidRDefault="00150A53" w:rsidP="00B93BF6"/>
    <w:p w14:paraId="4FC6AE47" w14:textId="6C8EFDA7" w:rsidR="005C4499" w:rsidRPr="000410C7" w:rsidRDefault="005C4499" w:rsidP="005C4499">
      <w:r>
        <w:t xml:space="preserve">A Text Proposal for the configuration of </w:t>
      </w:r>
      <w:r w:rsidR="005F529E">
        <w:t>Subsequent CPAC</w:t>
      </w:r>
      <w:r>
        <w:t xml:space="preserve">, including </w:t>
      </w:r>
      <w:r w:rsidR="00692424">
        <w:t xml:space="preserve">configuration of execution conditions for subsequent CPC and </w:t>
      </w:r>
      <w:r>
        <w:t>configuration for handling of other candidate configurations when one candidate configuration is executed, is included in A</w:t>
      </w:r>
      <w:r w:rsidRPr="000410C7">
        <w:t>nnex A.</w:t>
      </w:r>
      <w:r w:rsidR="000410C7" w:rsidRPr="000410C7">
        <w:t xml:space="preserve"> </w:t>
      </w:r>
      <w:r w:rsidRPr="000410C7">
        <w:t xml:space="preserve">It is proposed to consider this as baseline for the configuration of </w:t>
      </w:r>
      <w:r w:rsidR="000D47F9" w:rsidRPr="000410C7">
        <w:t>Subsequent CPAC</w:t>
      </w:r>
      <w:r w:rsidRPr="000410C7">
        <w:t xml:space="preserve"> in the running CR.</w:t>
      </w:r>
    </w:p>
    <w:p w14:paraId="1418CAF0" w14:textId="45A089A8" w:rsidR="005C4499" w:rsidRDefault="005C4499" w:rsidP="005C4499">
      <w:pPr>
        <w:pStyle w:val="Proposal"/>
      </w:pPr>
      <w:bookmarkStart w:id="13" w:name="_Toc134532430"/>
      <w:bookmarkStart w:id="14" w:name="_Toc142589283"/>
      <w:r>
        <w:t xml:space="preserve">Consider the Text Proposal in Annex A as a baseline for the configuration of </w:t>
      </w:r>
      <w:r w:rsidR="000D47F9">
        <w:t>Subsequent CPAC</w:t>
      </w:r>
      <w:r>
        <w:t>.</w:t>
      </w:r>
      <w:bookmarkEnd w:id="13"/>
      <w:bookmarkEnd w:id="14"/>
    </w:p>
    <w:p w14:paraId="1F62665A" w14:textId="2A6AE594" w:rsidR="00796FFD" w:rsidRDefault="00796FFD" w:rsidP="00796FFD">
      <w:pPr>
        <w:rPr>
          <w:highlight w:val="yellow"/>
        </w:rPr>
      </w:pPr>
    </w:p>
    <w:p w14:paraId="2467DC3E" w14:textId="44C1E37A" w:rsidR="0045106C" w:rsidRDefault="0045106C" w:rsidP="0045106C">
      <w:pPr>
        <w:pStyle w:val="Heading2"/>
      </w:pPr>
      <w:r>
        <w:t>2.</w:t>
      </w:r>
      <w:r w:rsidR="005C4499">
        <w:t>2</w:t>
      </w:r>
      <w:r>
        <w:tab/>
        <w:t>Intra-SN and inter-SN CPC configurations</w:t>
      </w:r>
    </w:p>
    <w:p w14:paraId="0CC49CD9" w14:textId="3ACDDAB5" w:rsidR="00D444A8" w:rsidRDefault="00D444A8" w:rsidP="00D444A8">
      <w:r>
        <w:t xml:space="preserve">Both intra-SN and inter-SN CPC configurations are assumed to be supported for </w:t>
      </w:r>
      <w:r w:rsidR="000D47F9">
        <w:t>Subsequent CPAC</w:t>
      </w:r>
      <w:r>
        <w:t>. At RAN2#121bis it was agreed that inter-SN CPC configurations are in MN format:</w:t>
      </w:r>
    </w:p>
    <w:p w14:paraId="6DC1FB62" w14:textId="77777777" w:rsidR="00D444A8" w:rsidRDefault="00D444A8" w:rsidP="00D444A8">
      <w:pPr>
        <w:pStyle w:val="Agreement"/>
        <w:tabs>
          <w:tab w:val="clear" w:pos="1494"/>
          <w:tab w:val="num" w:pos="927"/>
        </w:tabs>
        <w:ind w:left="927"/>
      </w:pPr>
      <w:r>
        <w:t xml:space="preserve">For inter-SN SCG Selective Activation, the RRC reconfiguration message containing the Rel-18 CPC configurations provided to the UE is in MN format. </w:t>
      </w:r>
    </w:p>
    <w:p w14:paraId="45D5D48A" w14:textId="77777777" w:rsidR="00D444A8" w:rsidRDefault="00D444A8" w:rsidP="00D444A8"/>
    <w:p w14:paraId="37478860" w14:textId="77777777" w:rsidR="00D444A8" w:rsidRDefault="00D444A8" w:rsidP="00D444A8">
      <w:r>
        <w:t>A</w:t>
      </w:r>
      <w:r w:rsidRPr="00954C40">
        <w:t xml:space="preserve"> question is </w:t>
      </w:r>
      <w:r>
        <w:t xml:space="preserve">then however what format to use for intra-SN configurations. The existing Rel-16 intra-SN CPC configurations are in SN format and can thus not be used by the UE when moving to another SN. They need to be released at least when performing an inter-SN </w:t>
      </w:r>
      <w:proofErr w:type="spellStart"/>
      <w:r>
        <w:t>PSCell</w:t>
      </w:r>
      <w:proofErr w:type="spellEnd"/>
      <w:r>
        <w:t xml:space="preserve"> change.</w:t>
      </w:r>
    </w:p>
    <w:p w14:paraId="4E47A756" w14:textId="77777777" w:rsidR="00D444A8" w:rsidRDefault="00D444A8" w:rsidP="00D444A8">
      <w:pPr>
        <w:pStyle w:val="Observation"/>
      </w:pPr>
      <w:bookmarkStart w:id="15" w:name="_Toc134530056"/>
      <w:bookmarkStart w:id="16" w:name="_Toc142589275"/>
      <w:r>
        <w:lastRenderedPageBreak/>
        <w:t xml:space="preserve">An intra-SN CPC configuration in SN format cannot be used after an inter-SN </w:t>
      </w:r>
      <w:proofErr w:type="spellStart"/>
      <w:r>
        <w:t>PSCell</w:t>
      </w:r>
      <w:proofErr w:type="spellEnd"/>
      <w:r>
        <w:t xml:space="preserve"> change.</w:t>
      </w:r>
      <w:bookmarkEnd w:id="15"/>
      <w:bookmarkEnd w:id="16"/>
    </w:p>
    <w:p w14:paraId="2DEB6DA1" w14:textId="77777777" w:rsidR="00D444A8" w:rsidRDefault="00D444A8" w:rsidP="00D444A8"/>
    <w:p w14:paraId="27500574" w14:textId="106F5E1F" w:rsidR="00512545" w:rsidRDefault="00D444A8" w:rsidP="00D444A8">
      <w:r>
        <w:t xml:space="preserve">To allow that the same CPC configuration can be used for both intra- and inter-SN scenarios, it would then need to </w:t>
      </w:r>
      <w:r w:rsidR="00937871">
        <w:t xml:space="preserve">possible to configure it also </w:t>
      </w:r>
      <w:r>
        <w:t>in MN format.</w:t>
      </w:r>
    </w:p>
    <w:p w14:paraId="20866246" w14:textId="3C327D7F" w:rsidR="00D444A8" w:rsidRPr="00492EBD" w:rsidRDefault="00D444A8" w:rsidP="00D444A8">
      <w:pPr>
        <w:pStyle w:val="Proposal"/>
      </w:pPr>
      <w:bookmarkStart w:id="17" w:name="_Toc134532431"/>
      <w:bookmarkStart w:id="18" w:name="_Toc142589284"/>
      <w:r>
        <w:t xml:space="preserve">For </w:t>
      </w:r>
      <w:r w:rsidR="000D47F9">
        <w:t>Rel-18 Subsequent CPAC</w:t>
      </w:r>
      <w:r>
        <w:t>, i</w:t>
      </w:r>
      <w:r w:rsidRPr="00492EBD">
        <w:t xml:space="preserve">t should be supported to configure CPC for an intra-SN candidate target </w:t>
      </w:r>
      <w:proofErr w:type="spellStart"/>
      <w:r w:rsidRPr="00492EBD">
        <w:t>PSCell</w:t>
      </w:r>
      <w:proofErr w:type="spellEnd"/>
      <w:r w:rsidRPr="00492EBD">
        <w:t xml:space="preserve"> in MN format.</w:t>
      </w:r>
      <w:bookmarkEnd w:id="17"/>
      <w:bookmarkEnd w:id="18"/>
    </w:p>
    <w:p w14:paraId="5DEF6B80" w14:textId="640660A8" w:rsidR="00F10ED2" w:rsidRDefault="00F10ED2" w:rsidP="009A0B11"/>
    <w:p w14:paraId="6E42FEB0" w14:textId="4AB1EF28" w:rsidR="00E44AAD" w:rsidRDefault="00E44AAD" w:rsidP="00E44AAD">
      <w:pPr>
        <w:pStyle w:val="Heading2"/>
      </w:pPr>
      <w:r>
        <w:t>2.</w:t>
      </w:r>
      <w:r w:rsidR="005C4499">
        <w:t>3</w:t>
      </w:r>
      <w:r>
        <w:tab/>
        <w:t>Keeping</w:t>
      </w:r>
      <w:r w:rsidR="00512545">
        <w:t>/releasing</w:t>
      </w:r>
      <w:r>
        <w:t xml:space="preserve"> </w:t>
      </w:r>
      <w:r w:rsidR="00512545">
        <w:t>Subsequent CPAC</w:t>
      </w:r>
      <w:r>
        <w:t xml:space="preserve"> configurations at </w:t>
      </w:r>
      <w:r w:rsidR="00512545">
        <w:t xml:space="preserve">other RRC </w:t>
      </w:r>
      <w:proofErr w:type="gramStart"/>
      <w:r w:rsidR="00512545">
        <w:t>reconfigurations</w:t>
      </w:r>
      <w:proofErr w:type="gramEnd"/>
    </w:p>
    <w:p w14:paraId="5300EF72" w14:textId="77777777" w:rsidR="00E44AAD" w:rsidRDefault="00E44AAD" w:rsidP="009A0B11">
      <w:r>
        <w:t>At the RAN2#121 meeting it was agreed that:</w:t>
      </w:r>
    </w:p>
    <w:p w14:paraId="4B9853F6" w14:textId="77777777" w:rsidR="00E44AAD" w:rsidRPr="00F02F01" w:rsidRDefault="00E44AAD" w:rsidP="00E44AAD">
      <w:pPr>
        <w:pStyle w:val="Agreement"/>
        <w:tabs>
          <w:tab w:val="clear" w:pos="1494"/>
          <w:tab w:val="num" w:pos="927"/>
        </w:tabs>
        <w:ind w:left="927"/>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6A9D6CED" w14:textId="77777777" w:rsidR="00E44AAD" w:rsidRDefault="00E44AAD" w:rsidP="009A0B11"/>
    <w:p w14:paraId="44922801" w14:textId="77777777" w:rsidR="00F916FD" w:rsidRDefault="00693E16" w:rsidP="00F0497A">
      <w:r>
        <w:t>This agreement allow</w:t>
      </w:r>
      <w:r w:rsidR="00AB3829">
        <w:t>s</w:t>
      </w:r>
      <w:r>
        <w:t xml:space="preserve"> to simpl</w:t>
      </w:r>
      <w:r w:rsidR="00AB3829">
        <w:t>ify the scenario in case of inter-MN handover. In fact, k</w:t>
      </w:r>
      <w:r w:rsidR="00F0497A">
        <w:t>eeping the CPA/CPC configurations at inter-MN handover scenarios would lead to more complex handling since the target MN needs to setup the corresponding link towards all the candidate target SN(s) and CPA/CPC configurations would probably need to be updated.</w:t>
      </w:r>
    </w:p>
    <w:p w14:paraId="0326BF1C" w14:textId="1B498319" w:rsidR="009136DF" w:rsidRDefault="00F0497A" w:rsidP="0054613C">
      <w:r>
        <w:t xml:space="preserve">However, the application of this agreement to the intra-MN handover case seems an unnecessary limitation. In case of intra-MN handover, the </w:t>
      </w:r>
      <w:r w:rsidR="00464AA6">
        <w:t>connections</w:t>
      </w:r>
      <w:r>
        <w:t xml:space="preserve"> between MN and the candidate target SNs are already </w:t>
      </w:r>
      <w:r w:rsidR="008676AD">
        <w:t>setup,</w:t>
      </w:r>
      <w:r>
        <w:t xml:space="preserve"> and the CPA/CPC configurations </w:t>
      </w:r>
      <w:r w:rsidR="008B1373">
        <w:t>are expected</w:t>
      </w:r>
      <w:r>
        <w:t xml:space="preserve"> to be </w:t>
      </w:r>
      <w:r w:rsidR="0065092B">
        <w:t xml:space="preserve">still </w:t>
      </w:r>
      <w:r>
        <w:t xml:space="preserve">valid. </w:t>
      </w:r>
      <w:r w:rsidR="00DF19D3">
        <w:t xml:space="preserve">It should therefore be supported </w:t>
      </w:r>
      <w:r>
        <w:t xml:space="preserve">that the </w:t>
      </w:r>
      <w:r w:rsidR="00DF19D3">
        <w:t xml:space="preserve">Subsequent </w:t>
      </w:r>
      <w:r>
        <w:t xml:space="preserve">CPAC configurations </w:t>
      </w:r>
      <w:r w:rsidR="00DF19D3">
        <w:t xml:space="preserve">can be </w:t>
      </w:r>
      <w:r>
        <w:t>kept</w:t>
      </w:r>
      <w:r w:rsidR="00715D2A">
        <w:t xml:space="preserve"> at </w:t>
      </w:r>
      <w:r w:rsidR="00F916FD" w:rsidRPr="00F916FD">
        <w:t>intra-MN handover</w:t>
      </w:r>
      <w:r>
        <w:t xml:space="preserve">. </w:t>
      </w:r>
      <w:r w:rsidR="00DF19D3">
        <w:t>This should then be indicated through explicit indications, according to the agreement above.</w:t>
      </w:r>
    </w:p>
    <w:p w14:paraId="43C10C6E" w14:textId="7A3E0BC0" w:rsidR="00DF19D3" w:rsidRDefault="00DF19D3" w:rsidP="0054613C">
      <w:r>
        <w:t xml:space="preserve">There are already mechanisms and procedures for releasing conditional reconfigurations, </w:t>
      </w:r>
      <w:proofErr w:type="gramStart"/>
      <w:r>
        <w:t>i.e.</w:t>
      </w:r>
      <w:proofErr w:type="gramEnd"/>
      <w:r>
        <w:t xml:space="preserve"> the </w:t>
      </w:r>
      <w:proofErr w:type="spellStart"/>
      <w:r w:rsidRPr="009136DF">
        <w:rPr>
          <w:i/>
          <w:iCs/>
        </w:rPr>
        <w:t>condReconfigToRemoveList</w:t>
      </w:r>
      <w:proofErr w:type="spellEnd"/>
      <w:r>
        <w:t xml:space="preserve"> in </w:t>
      </w:r>
      <w:proofErr w:type="spellStart"/>
      <w:r w:rsidRPr="009136DF">
        <w:rPr>
          <w:i/>
          <w:iCs/>
        </w:rPr>
        <w:t>ConditionalReconfiguration</w:t>
      </w:r>
      <w:proofErr w:type="spellEnd"/>
      <w:r>
        <w:t xml:space="preserve">. </w:t>
      </w:r>
      <w:r w:rsidR="009136DF">
        <w:t xml:space="preserve">The explicit indication from the network to release (or keep) Subsequent CPAC configurations can </w:t>
      </w:r>
      <w:r>
        <w:t xml:space="preserve">thus </w:t>
      </w:r>
      <w:r w:rsidR="009136DF">
        <w:t xml:space="preserve">be </w:t>
      </w:r>
      <w:r>
        <w:t>achieved</w:t>
      </w:r>
      <w:r w:rsidR="009136DF">
        <w:t xml:space="preserve"> using th</w:t>
      </w:r>
      <w:r>
        <w:t>is</w:t>
      </w:r>
      <w:r w:rsidR="009136DF">
        <w:t xml:space="preserve"> </w:t>
      </w:r>
      <w:r w:rsidR="00512545">
        <w:t>already</w:t>
      </w:r>
      <w:r w:rsidR="009136DF">
        <w:t xml:space="preserve"> existing release procedure </w:t>
      </w:r>
      <w:r>
        <w:t>and t</w:t>
      </w:r>
      <w:r w:rsidR="00512545">
        <w:t>here is then no need to introduce additional parameters, with associated new procedures etc.</w:t>
      </w:r>
    </w:p>
    <w:p w14:paraId="1BF431C5" w14:textId="0C44FC11" w:rsidR="0054613C" w:rsidRPr="00386BD4" w:rsidRDefault="00DF19D3" w:rsidP="0054613C">
      <w:r>
        <w:t>We thus propose that t</w:t>
      </w:r>
      <w:r w:rsidR="00512545">
        <w:t xml:space="preserve">he existing </w:t>
      </w:r>
      <w:proofErr w:type="spellStart"/>
      <w:r w:rsidR="00512545" w:rsidRPr="009136DF">
        <w:rPr>
          <w:i/>
          <w:iCs/>
        </w:rPr>
        <w:t>condReconfigToRemoveList</w:t>
      </w:r>
      <w:proofErr w:type="spellEnd"/>
      <w:r w:rsidR="00512545">
        <w:t xml:space="preserve"> </w:t>
      </w:r>
      <w:r w:rsidR="00512545">
        <w:rPr>
          <w:iCs/>
        </w:rPr>
        <w:t>can be used to release any existing Subsequent CPAC configuration also at other RRC reconfigurations.</w:t>
      </w:r>
    </w:p>
    <w:p w14:paraId="02260BF7" w14:textId="2F3A2685" w:rsidR="0054613C" w:rsidRDefault="004517FF" w:rsidP="0054613C">
      <w:pPr>
        <w:pStyle w:val="Proposal"/>
      </w:pPr>
      <w:bookmarkStart w:id="19" w:name="_Toc142589285"/>
      <w:r>
        <w:t>The</w:t>
      </w:r>
      <w:r w:rsidRPr="004517FF">
        <w:t xml:space="preserve"> UE </w:t>
      </w:r>
      <w:r w:rsidR="005F6064">
        <w:t>can be</w:t>
      </w:r>
      <w:r>
        <w:t xml:space="preserve"> </w:t>
      </w:r>
      <w:r w:rsidR="00DF19D3">
        <w:t xml:space="preserve">configured to release (or keep) Subsequent </w:t>
      </w:r>
      <w:r w:rsidR="00DF19D3" w:rsidRPr="004517FF">
        <w:t>CPA</w:t>
      </w:r>
      <w:r w:rsidR="00DF19D3">
        <w:t>C</w:t>
      </w:r>
      <w:r w:rsidR="00DF19D3" w:rsidRPr="004517FF">
        <w:t xml:space="preserve"> configurations </w:t>
      </w:r>
      <w:r w:rsidR="00DF19D3">
        <w:t xml:space="preserve">at other RRC Reconfigurations, </w:t>
      </w:r>
      <w:proofErr w:type="gramStart"/>
      <w:r w:rsidR="00DF19D3">
        <w:t>e.g.</w:t>
      </w:r>
      <w:proofErr w:type="gramEnd"/>
      <w:r w:rsidR="00DF19D3">
        <w:t xml:space="preserve"> </w:t>
      </w:r>
      <w:r w:rsidR="009A7D65">
        <w:t>at</w:t>
      </w:r>
      <w:r w:rsidRPr="004517FF">
        <w:t xml:space="preserve"> </w:t>
      </w:r>
      <w:r>
        <w:t>handover</w:t>
      </w:r>
      <w:r w:rsidR="005F6064">
        <w:t xml:space="preserve">, </w:t>
      </w:r>
      <w:r w:rsidRPr="004517FF">
        <w:t>by explicit indication from network</w:t>
      </w:r>
      <w:r w:rsidR="0054613C" w:rsidRPr="00386BD4">
        <w:t>.</w:t>
      </w:r>
      <w:r w:rsidR="009136DF">
        <w:t xml:space="preserve"> The explicit indication consists of that candidate configurations are released using the </w:t>
      </w:r>
      <w:proofErr w:type="spellStart"/>
      <w:r w:rsidR="009136DF" w:rsidRPr="009136DF">
        <w:rPr>
          <w:i/>
          <w:iCs/>
        </w:rPr>
        <w:t>condReconfigToRemoveList</w:t>
      </w:r>
      <w:proofErr w:type="spellEnd"/>
      <w:r w:rsidR="009136DF">
        <w:t xml:space="preserve"> in </w:t>
      </w:r>
      <w:proofErr w:type="spellStart"/>
      <w:r w:rsidR="009136DF" w:rsidRPr="009136DF">
        <w:rPr>
          <w:i/>
          <w:iCs/>
        </w:rPr>
        <w:t>ConditionalReconfiguration</w:t>
      </w:r>
      <w:proofErr w:type="spellEnd"/>
      <w:r w:rsidR="009136DF">
        <w:t>.</w:t>
      </w:r>
      <w:bookmarkEnd w:id="19"/>
    </w:p>
    <w:p w14:paraId="1D6CD765" w14:textId="0CC38AD6" w:rsidR="00E44AAD" w:rsidRDefault="00E44AAD" w:rsidP="009A0B11"/>
    <w:p w14:paraId="44B1E785" w14:textId="1D91646B" w:rsidR="00F132BB" w:rsidRDefault="00F132BB" w:rsidP="009A0B11">
      <w:r>
        <w:rPr>
          <w:iCs/>
        </w:rPr>
        <w:t xml:space="preserve">Corresponding procedures for adding or modifying Subsequent CPAC configurations at these other RRC reconfigurations can then also be achieved by using </w:t>
      </w:r>
      <w:proofErr w:type="spellStart"/>
      <w:r w:rsidRPr="00C0503E">
        <w:rPr>
          <w:i/>
        </w:rPr>
        <w:t>condReconfigToAddModList</w:t>
      </w:r>
      <w:proofErr w:type="spellEnd"/>
      <w:r>
        <w:rPr>
          <w:iCs/>
        </w:rPr>
        <w:t xml:space="preserve"> (and the associated procedures).</w:t>
      </w:r>
    </w:p>
    <w:p w14:paraId="3BC0C9CE" w14:textId="7365C34A" w:rsidR="00F43477" w:rsidRPr="006F2DB7" w:rsidRDefault="00F43477" w:rsidP="00F43477">
      <w:pPr>
        <w:pStyle w:val="Heading2"/>
      </w:pPr>
      <w:r w:rsidRPr="006F2DB7">
        <w:t>2.</w:t>
      </w:r>
      <w:r w:rsidR="005C4499">
        <w:t>4</w:t>
      </w:r>
      <w:r w:rsidRPr="006F2DB7">
        <w:tab/>
        <w:t>Support for delta and reference configurations</w:t>
      </w:r>
    </w:p>
    <w:p w14:paraId="00A8831A" w14:textId="4A74A9AC" w:rsidR="009630EC" w:rsidRDefault="002321BF" w:rsidP="00F43477">
      <w:pPr>
        <w:rPr>
          <w:highlight w:val="yellow"/>
        </w:rPr>
      </w:pPr>
      <w:r>
        <w:t>To</w:t>
      </w:r>
      <w:r w:rsidRPr="006B5ADF">
        <w:t xml:space="preserve"> </w:t>
      </w:r>
      <w:r w:rsidR="006B5ADF" w:rsidRPr="006B5ADF">
        <w:t xml:space="preserve">support delta configurations for the candidate configurations for </w:t>
      </w:r>
      <w:r>
        <w:t xml:space="preserve">Subsequent CPAC, </w:t>
      </w:r>
      <w:r w:rsidR="006B5ADF" w:rsidRPr="006B5ADF">
        <w:t>us</w:t>
      </w:r>
      <w:r>
        <w:t>ing</w:t>
      </w:r>
      <w:r w:rsidR="006B5ADF" w:rsidRPr="006B5ADF">
        <w:t xml:space="preserve"> a reference configuration</w:t>
      </w:r>
      <w:r>
        <w:t>,</w:t>
      </w:r>
      <w:r w:rsidR="006B5ADF" w:rsidRPr="006B5ADF">
        <w:t xml:space="preserve"> </w:t>
      </w:r>
      <w:r>
        <w:t xml:space="preserve">has been discussed with the following agreements at </w:t>
      </w:r>
      <w:r w:rsidR="009630EC">
        <w:t>RAN2#121</w:t>
      </w:r>
      <w:r w:rsidR="00DC7AC4">
        <w:t>bis-e</w:t>
      </w:r>
      <w:r w:rsidR="009630EC">
        <w:t>:</w:t>
      </w:r>
    </w:p>
    <w:p w14:paraId="51873840" w14:textId="55847A8C" w:rsidR="00DD3AC5" w:rsidRDefault="00DD3AC5" w:rsidP="0070076F">
      <w:pPr>
        <w:pStyle w:val="Agreement"/>
        <w:tabs>
          <w:tab w:val="clear" w:pos="1494"/>
        </w:tabs>
        <w:ind w:left="993"/>
      </w:pPr>
      <w:r w:rsidRPr="00DD3AC5">
        <w:t>For the reference configuration for SCG Selective Activation, aim at following similar design as LTM.</w:t>
      </w:r>
    </w:p>
    <w:p w14:paraId="7EB87489" w14:textId="7BA0591A" w:rsidR="00FA3013" w:rsidRDefault="00FA3013" w:rsidP="0070076F">
      <w:pPr>
        <w:pStyle w:val="Agreement"/>
        <w:tabs>
          <w:tab w:val="clear" w:pos="1494"/>
        </w:tabs>
        <w:ind w:left="993"/>
      </w:pPr>
      <w:r>
        <w:t>The following may be included in the initial RRC reconfiguration message containing the Rel-18 CPC configurations:</w:t>
      </w:r>
    </w:p>
    <w:p w14:paraId="055B981F" w14:textId="77777777" w:rsidR="00FA3013" w:rsidRDefault="00FA3013" w:rsidP="0070076F">
      <w:pPr>
        <w:pStyle w:val="Agreement"/>
        <w:numPr>
          <w:ilvl w:val="0"/>
          <w:numId w:val="37"/>
        </w:numPr>
      </w:pPr>
      <w:r>
        <w:lastRenderedPageBreak/>
        <w:t>Reference SCG configuration (Optionality FFS). Assume as for LTM Reference configuration may be empty.</w:t>
      </w:r>
    </w:p>
    <w:p w14:paraId="35742608" w14:textId="77777777" w:rsidR="00FA3013" w:rsidRDefault="00FA3013" w:rsidP="0070076F">
      <w:pPr>
        <w:pStyle w:val="Agreement"/>
        <w:numPr>
          <w:ilvl w:val="0"/>
          <w:numId w:val="0"/>
        </w:numPr>
        <w:ind w:left="993"/>
      </w:pPr>
      <w:r>
        <w:t>FFS whether MCG configuration is included.</w:t>
      </w:r>
    </w:p>
    <w:p w14:paraId="5CE199D6" w14:textId="399F75BA" w:rsidR="00556294" w:rsidRDefault="00FA3013" w:rsidP="0070076F">
      <w:pPr>
        <w:pStyle w:val="Agreement"/>
        <w:numPr>
          <w:ilvl w:val="0"/>
          <w:numId w:val="0"/>
        </w:numPr>
        <w:ind w:left="993"/>
      </w:pPr>
      <w:r>
        <w:t>FFS RRC model for the reference configuration.</w:t>
      </w:r>
    </w:p>
    <w:p w14:paraId="0165A447" w14:textId="77777777" w:rsidR="002321BF" w:rsidRDefault="002321BF" w:rsidP="00F43477"/>
    <w:p w14:paraId="28F87260" w14:textId="242FB054" w:rsidR="009630EC" w:rsidRPr="00D46563" w:rsidRDefault="006378E2" w:rsidP="00F43477">
      <w:r>
        <w:t xml:space="preserve">The aspects </w:t>
      </w:r>
      <w:r w:rsidR="00271C1B">
        <w:t>related to t</w:t>
      </w:r>
      <w:r w:rsidR="001A5BB5" w:rsidRPr="001A5BB5">
        <w:t xml:space="preserve">he RRC model for the reference configuration </w:t>
      </w:r>
      <w:r w:rsidR="006A4C62">
        <w:t>and</w:t>
      </w:r>
      <w:r w:rsidR="001A5BB5" w:rsidRPr="001A5BB5">
        <w:t xml:space="preserve"> whether the reference configuration consists of only an SCG configuration or both an SCG and an MCG configuration</w:t>
      </w:r>
      <w:r>
        <w:t xml:space="preserve"> </w:t>
      </w:r>
      <w:r w:rsidR="002317A9">
        <w:t>have not been agreed</w:t>
      </w:r>
      <w:r w:rsidR="00206FC1">
        <w:t xml:space="preserve"> yet</w:t>
      </w:r>
      <w:r w:rsidR="001A5BB5" w:rsidRPr="001A5BB5">
        <w:t xml:space="preserve">. </w:t>
      </w:r>
      <w:r w:rsidR="00F43477" w:rsidRPr="00D46563">
        <w:t>Considering that the candidate target cell configuration for CPC (</w:t>
      </w:r>
      <w:proofErr w:type="gramStart"/>
      <w:r w:rsidR="00F43477" w:rsidRPr="00D46563">
        <w:t>i.e.</w:t>
      </w:r>
      <w:proofErr w:type="gramEnd"/>
      <w:r w:rsidR="00F43477" w:rsidRPr="00D46563">
        <w:t xml:space="preserve"> the </w:t>
      </w:r>
      <w:proofErr w:type="spellStart"/>
      <w:r w:rsidR="00F43477" w:rsidRPr="00D46563">
        <w:rPr>
          <w:i/>
        </w:rPr>
        <w:t>condRRCReconfig</w:t>
      </w:r>
      <w:proofErr w:type="spellEnd"/>
      <w:r w:rsidR="00F43477" w:rsidRPr="00D46563">
        <w:t xml:space="preserve">) consists of an </w:t>
      </w:r>
      <w:proofErr w:type="spellStart"/>
      <w:r w:rsidR="00F43477" w:rsidRPr="00D46563">
        <w:rPr>
          <w:i/>
        </w:rPr>
        <w:t>RRCReconfiguration</w:t>
      </w:r>
      <w:proofErr w:type="spellEnd"/>
      <w:r w:rsidR="00F43477" w:rsidRPr="00D46563">
        <w:t xml:space="preserve"> message</w:t>
      </w:r>
      <w:r w:rsidR="00633D4D">
        <w:t>,</w:t>
      </w:r>
      <w:r w:rsidR="00F43477" w:rsidRPr="00D46563">
        <w:t xml:space="preserve"> </w:t>
      </w:r>
      <w:r w:rsidR="00120607">
        <w:t xml:space="preserve">it is reasonable that </w:t>
      </w:r>
      <w:r w:rsidR="00F43477" w:rsidRPr="00D46563">
        <w:t xml:space="preserve">the reference configuration should </w:t>
      </w:r>
      <w:r w:rsidR="00D46563" w:rsidRPr="00D46563">
        <w:t xml:space="preserve">also </w:t>
      </w:r>
      <w:r w:rsidR="00F43477" w:rsidRPr="00D46563">
        <w:t xml:space="preserve">consist of an </w:t>
      </w:r>
      <w:proofErr w:type="spellStart"/>
      <w:r w:rsidR="00F43477" w:rsidRPr="00D46563">
        <w:rPr>
          <w:i/>
        </w:rPr>
        <w:t>RRCReconfiguration</w:t>
      </w:r>
      <w:proofErr w:type="spellEnd"/>
      <w:r w:rsidR="00F43477" w:rsidRPr="00D46563">
        <w:t xml:space="preserve"> message.</w:t>
      </w:r>
      <w:r w:rsidR="00D46563" w:rsidRPr="00D46563">
        <w:t xml:space="preserve"> The candidate configurations for (Rel-17) inter-SN CPC includes both MCG and SCG configurations to be applied at the </w:t>
      </w:r>
      <w:proofErr w:type="spellStart"/>
      <w:r w:rsidR="00D46563" w:rsidRPr="00D46563">
        <w:t>PSCell</w:t>
      </w:r>
      <w:proofErr w:type="spellEnd"/>
      <w:r w:rsidR="00D46563" w:rsidRPr="00D46563">
        <w:t xml:space="preserve"> change. It should therefore be possible to include both MCG and SCG parts in the reference configuration.</w:t>
      </w:r>
    </w:p>
    <w:p w14:paraId="022DD81B" w14:textId="1B5C8907" w:rsidR="00D444A8" w:rsidRPr="006B5ADF" w:rsidRDefault="00D444A8" w:rsidP="00D444A8">
      <w:pPr>
        <w:pStyle w:val="Proposal"/>
      </w:pPr>
      <w:bookmarkStart w:id="20" w:name="_Toc134532433"/>
      <w:bookmarkStart w:id="21" w:name="_Toc142589286"/>
      <w:r w:rsidRPr="006B5ADF">
        <w:t xml:space="preserve">The reference configuration for </w:t>
      </w:r>
      <w:r w:rsidR="000D47F9">
        <w:t xml:space="preserve">Subsequent CPAC </w:t>
      </w:r>
      <w:r w:rsidRPr="006B5ADF">
        <w:t xml:space="preserve">should consist of an </w:t>
      </w:r>
      <w:proofErr w:type="spellStart"/>
      <w:r w:rsidRPr="006B5ADF">
        <w:rPr>
          <w:i/>
        </w:rPr>
        <w:t>RRCReconfiguration</w:t>
      </w:r>
      <w:proofErr w:type="spellEnd"/>
      <w:r w:rsidRPr="006B5ADF">
        <w:t xml:space="preserve"> message, which can include both SCG and MCG configurations.</w:t>
      </w:r>
      <w:bookmarkEnd w:id="20"/>
      <w:bookmarkEnd w:id="21"/>
    </w:p>
    <w:p w14:paraId="33C82AC6" w14:textId="77777777" w:rsidR="00D444A8" w:rsidRDefault="00D444A8" w:rsidP="00D444A8">
      <w:pPr>
        <w:rPr>
          <w:highlight w:val="yellow"/>
        </w:rPr>
      </w:pPr>
    </w:p>
    <w:p w14:paraId="211DB2CB" w14:textId="2520A155" w:rsidR="00D444A8" w:rsidRDefault="00D444A8" w:rsidP="00D444A8">
      <w:r w:rsidRPr="009F2205">
        <w:t xml:space="preserve">A further aspect to be considered is how to handle the reference configuration. A reference configuration is not required </w:t>
      </w:r>
      <w:r w:rsidR="00030436">
        <w:t xml:space="preserve">as such </w:t>
      </w:r>
      <w:r w:rsidRPr="009F2205">
        <w:t xml:space="preserve">for </w:t>
      </w:r>
      <w:r w:rsidR="000D47F9">
        <w:t xml:space="preserve">Subsequent CPAC </w:t>
      </w:r>
      <w:r w:rsidRPr="009F2205">
        <w:t xml:space="preserve">to work, and the use of reference configuration is thus optional. </w:t>
      </w:r>
      <w:proofErr w:type="gramStart"/>
      <w:r>
        <w:t>By defining the</w:t>
      </w:r>
      <w:r w:rsidRPr="005E5C84">
        <w:t xml:space="preserve"> reference configuration </w:t>
      </w:r>
      <w:r>
        <w:t>as an optional</w:t>
      </w:r>
      <w:r w:rsidRPr="00342C23">
        <w:t xml:space="preserve"> </w:t>
      </w:r>
      <w:r w:rsidRPr="005E5C84">
        <w:t>IE/field</w:t>
      </w:r>
      <w:r>
        <w:t xml:space="preserve">, </w:t>
      </w:r>
      <w:r w:rsidR="00030436">
        <w:t>there</w:t>
      </w:r>
      <w:proofErr w:type="gramEnd"/>
      <w:r w:rsidR="00030436">
        <w:t xml:space="preserve"> is no </w:t>
      </w:r>
      <w:r>
        <w:t xml:space="preserve">need to send an “empty” reference configuration when such configuration is not provided: instead, the </w:t>
      </w:r>
      <w:r w:rsidRPr="001C207C">
        <w:t>reference configuration IE/field</w:t>
      </w:r>
      <w:r>
        <w:t xml:space="preserve"> is </w:t>
      </w:r>
      <w:r w:rsidR="00030436">
        <w:t xml:space="preserve">then </w:t>
      </w:r>
      <w:r>
        <w:t xml:space="preserve">not included in the </w:t>
      </w:r>
      <w:r w:rsidRPr="001C207C">
        <w:t>RRC reconfiguration message</w:t>
      </w:r>
      <w:r>
        <w:t>.</w:t>
      </w:r>
    </w:p>
    <w:p w14:paraId="0B60DD75" w14:textId="548C551D" w:rsidR="00D444A8" w:rsidRPr="009F2205" w:rsidRDefault="00D444A8" w:rsidP="00D444A8">
      <w:r w:rsidRPr="009F2205">
        <w:t xml:space="preserve">As agreed at RAN2#121 the candidate target SN can thus include an indication in the SN Addition Request Ack message whether a delta configuration has been used or not. </w:t>
      </w:r>
      <w:r>
        <w:t xml:space="preserve">A corresponding indication is then needed towards the UE, </w:t>
      </w:r>
      <w:proofErr w:type="gramStart"/>
      <w:r>
        <w:t>i.e.</w:t>
      </w:r>
      <w:proofErr w:type="gramEnd"/>
      <w:r>
        <w:t xml:space="preserve"> whether the received configuration is a delta configuration towards a reference configuration.</w:t>
      </w:r>
    </w:p>
    <w:p w14:paraId="462C4E1B" w14:textId="48017F8C" w:rsidR="00D444A8" w:rsidRPr="00D46563" w:rsidRDefault="00D444A8" w:rsidP="00D444A8">
      <w:pPr>
        <w:pStyle w:val="Proposal"/>
      </w:pPr>
      <w:bookmarkStart w:id="22" w:name="_Toc127445583"/>
      <w:bookmarkStart w:id="23" w:name="_Toc134532434"/>
      <w:bookmarkStart w:id="24" w:name="_Toc142589287"/>
      <w:r w:rsidRPr="00D46563">
        <w:rPr>
          <w:rStyle w:val="ui-provider"/>
        </w:rPr>
        <w:t xml:space="preserve">The reference configuration IE/field for candidate cell configurations, for </w:t>
      </w:r>
      <w:r w:rsidR="000D47F9">
        <w:rPr>
          <w:rStyle w:val="ui-provider"/>
        </w:rPr>
        <w:t>Subsequent CPAC</w:t>
      </w:r>
      <w:r w:rsidRPr="00D46563">
        <w:rPr>
          <w:rStyle w:val="ui-provider"/>
        </w:rPr>
        <w:t xml:space="preserve">, is optional. </w:t>
      </w:r>
      <w:r w:rsidRPr="00D46563">
        <w:t xml:space="preserve">It is up to the network </w:t>
      </w:r>
      <w:r w:rsidR="00820D30">
        <w:t xml:space="preserve">whether </w:t>
      </w:r>
      <w:r w:rsidRPr="00D46563">
        <w:t>to provide a reference configuration to the UE.</w:t>
      </w:r>
      <w:bookmarkEnd w:id="22"/>
      <w:bookmarkEnd w:id="23"/>
      <w:bookmarkEnd w:id="24"/>
    </w:p>
    <w:p w14:paraId="2CBD4876" w14:textId="2DB0B277" w:rsidR="00D444A8" w:rsidRPr="00D46563" w:rsidRDefault="00D444A8" w:rsidP="00D444A8">
      <w:pPr>
        <w:pStyle w:val="Proposal"/>
      </w:pPr>
      <w:bookmarkStart w:id="25" w:name="_Toc127445586"/>
      <w:bookmarkStart w:id="26" w:name="_Toc134532435"/>
      <w:bookmarkStart w:id="27" w:name="_Toc142589288"/>
      <w:r w:rsidRPr="00D46563">
        <w:t xml:space="preserve">The UE, when receiving a candidate target cell configuration for </w:t>
      </w:r>
      <w:r w:rsidR="000D47F9">
        <w:t>Subsequent CPAC</w:t>
      </w:r>
      <w:r w:rsidRPr="00D46563">
        <w:t>, should be aware whether it is a delta configuration on top of a reference configuration or if it is a full configuration.</w:t>
      </w:r>
      <w:bookmarkEnd w:id="25"/>
      <w:bookmarkEnd w:id="26"/>
      <w:bookmarkEnd w:id="27"/>
    </w:p>
    <w:p w14:paraId="51C5016C" w14:textId="623CC724" w:rsidR="002321BF" w:rsidRDefault="002321BF" w:rsidP="009A0B11"/>
    <w:p w14:paraId="76ABDBDD" w14:textId="763178AE" w:rsidR="00CF5271" w:rsidRDefault="00CF5271" w:rsidP="00CF5271">
      <w:r>
        <w:t>At RAN2#122 it was agreed that:</w:t>
      </w:r>
    </w:p>
    <w:p w14:paraId="3A1EA46C" w14:textId="77777777" w:rsidR="00CF5271" w:rsidRPr="00F738C4" w:rsidRDefault="00CF5271" w:rsidP="00CF5271">
      <w:pPr>
        <w:pStyle w:val="Agreement"/>
        <w:tabs>
          <w:tab w:val="clear" w:pos="1494"/>
        </w:tabs>
        <w:ind w:left="851"/>
        <w:rPr>
          <w:lang w:val="en-US"/>
        </w:rPr>
      </w:pPr>
      <w:r w:rsidRPr="00F738C4">
        <w:rPr>
          <w:lang w:val="en-US"/>
        </w:rPr>
        <w:t xml:space="preserve">The reference configuration is provided to all candidates involved in preparation, FFS which node initially generates it. Assume it can be provided in MN initiated and in SN initiated procedures.  </w:t>
      </w:r>
    </w:p>
    <w:p w14:paraId="50B08C2A" w14:textId="77777777" w:rsidR="00CF5271" w:rsidRDefault="00CF5271" w:rsidP="009A0B11"/>
    <w:p w14:paraId="4F93FE25" w14:textId="6E2C645C" w:rsidR="00CF5271" w:rsidRDefault="002C5D1E" w:rsidP="009A0B11">
      <w:r>
        <w:t xml:space="preserve">As discussed above </w:t>
      </w:r>
      <w:r w:rsidR="00CF5271">
        <w:t xml:space="preserve">the reference configuration should include both an SCG </w:t>
      </w:r>
      <w:r>
        <w:t xml:space="preserve">and an MCG part. The corresponding parts should then be generated by an SN and the MN, respectively. Considering that there may be several SNs involved already during the initial preparation, a question is then which of the SNs that can generate the SCG part of the reference configuration. </w:t>
      </w:r>
      <w:r w:rsidR="00CF5271">
        <w:t xml:space="preserve">For the case of CPA configurations there is no current serving SN for the UE. </w:t>
      </w:r>
      <w:proofErr w:type="gramStart"/>
      <w:r w:rsidR="00CF5271">
        <w:t>In order to</w:t>
      </w:r>
      <w:proofErr w:type="gramEnd"/>
      <w:r w:rsidR="00CF5271">
        <w:t xml:space="preserve"> support reference SCG configurations for this case, we therefore see a benefit in allowing that the MN can request an SCG reference configuration from any of the candidate SNs. We therefore propose that the MN should be able to request it from any of the involved SNs. </w:t>
      </w:r>
      <w:r w:rsidR="00CF5271" w:rsidRPr="00CE6B3E">
        <w:t xml:space="preserve">For the SN-initiated case it </w:t>
      </w:r>
      <w:r w:rsidR="009A7D65" w:rsidRPr="00CE6B3E">
        <w:t>should</w:t>
      </w:r>
      <w:r w:rsidR="00CF5271" w:rsidRPr="00CE6B3E">
        <w:t xml:space="preserve"> however be possibl</w:t>
      </w:r>
      <w:r w:rsidR="009A7D65" w:rsidRPr="00CE6B3E">
        <w:t>e</w:t>
      </w:r>
      <w:r w:rsidR="00CF5271" w:rsidRPr="00CE6B3E">
        <w:t xml:space="preserve"> </w:t>
      </w:r>
      <w:r w:rsidR="009A7D65" w:rsidRPr="00CE6B3E">
        <w:t>for</w:t>
      </w:r>
      <w:r w:rsidR="00CF5271" w:rsidRPr="00CE6B3E">
        <w:t xml:space="preserve"> the S-SN </w:t>
      </w:r>
      <w:r w:rsidR="009A7D65" w:rsidRPr="00CE6B3E">
        <w:t xml:space="preserve">to provide an SCG </w:t>
      </w:r>
      <w:r w:rsidR="00CF5271" w:rsidRPr="00CE6B3E">
        <w:t>reference configuration</w:t>
      </w:r>
      <w:r w:rsidR="009A7D65" w:rsidRPr="00CE6B3E">
        <w:t xml:space="preserve"> to the MN </w:t>
      </w:r>
      <w:r w:rsidR="00CE6B3E" w:rsidRPr="00CE6B3E">
        <w:t>when initiating the procedure</w:t>
      </w:r>
      <w:r w:rsidR="00CF5271" w:rsidRPr="00CE6B3E">
        <w:t>.</w:t>
      </w:r>
    </w:p>
    <w:p w14:paraId="4E416F92" w14:textId="77777777" w:rsidR="003B3414" w:rsidRDefault="003B3414" w:rsidP="002321BF">
      <w:pPr>
        <w:pStyle w:val="Proposal"/>
      </w:pPr>
      <w:bookmarkStart w:id="28" w:name="_Toc142589289"/>
      <w:r>
        <w:t>The MN initially generates the MCG part of the reference configuration</w:t>
      </w:r>
      <w:r w:rsidR="002321BF" w:rsidRPr="00D46563">
        <w:t>.</w:t>
      </w:r>
      <w:bookmarkEnd w:id="28"/>
    </w:p>
    <w:p w14:paraId="5F95A0E1" w14:textId="0145B676" w:rsidR="002321BF" w:rsidRPr="00D46563" w:rsidRDefault="003B3414" w:rsidP="002321BF">
      <w:pPr>
        <w:pStyle w:val="Proposal"/>
      </w:pPr>
      <w:bookmarkStart w:id="29" w:name="_Toc142589290"/>
      <w:r>
        <w:t>The SCG part of the reference configuration is initially generated by one of the SNs. The MN should be able to request an SCG reference configuration from any of the involved SNs.</w:t>
      </w:r>
      <w:bookmarkEnd w:id="29"/>
    </w:p>
    <w:p w14:paraId="6A75874F" w14:textId="0647E878" w:rsidR="00CE6B3E" w:rsidRPr="00D46563" w:rsidRDefault="00CE6B3E" w:rsidP="002321BF">
      <w:pPr>
        <w:pStyle w:val="Proposal"/>
      </w:pPr>
      <w:bookmarkStart w:id="30" w:name="_Toc142589291"/>
      <w:r w:rsidRPr="00CE6B3E">
        <w:t>For the SN-initiated case</w:t>
      </w:r>
      <w:r>
        <w:t>,</w:t>
      </w:r>
      <w:r w:rsidRPr="00CE6B3E">
        <w:t xml:space="preserve"> the S-SN </w:t>
      </w:r>
      <w:r>
        <w:t xml:space="preserve">can </w:t>
      </w:r>
      <w:r w:rsidRPr="00CE6B3E">
        <w:t>provide an SCG reference configuration to the MN when initiating the procedure</w:t>
      </w:r>
      <w:r>
        <w:t>.</w:t>
      </w:r>
      <w:bookmarkEnd w:id="30"/>
    </w:p>
    <w:p w14:paraId="5F2E5D76" w14:textId="77777777" w:rsidR="002321BF" w:rsidRDefault="002321BF" w:rsidP="009A0B11"/>
    <w:p w14:paraId="20D74898" w14:textId="77777777" w:rsidR="00C01F33" w:rsidRPr="00CE0424" w:rsidRDefault="00C01F33" w:rsidP="00CE0424">
      <w:pPr>
        <w:pStyle w:val="Heading1"/>
      </w:pPr>
      <w:r w:rsidRPr="00CE0424">
        <w:lastRenderedPageBreak/>
        <w:t>Conclusion</w:t>
      </w:r>
    </w:p>
    <w:p w14:paraId="7E08B161" w14:textId="44D6EB18" w:rsidR="008E065E" w:rsidRPr="00D444A8" w:rsidRDefault="008E065E" w:rsidP="008E065E">
      <w:pPr>
        <w:pStyle w:val="BodyText"/>
        <w:rPr>
          <w:b/>
          <w:bCs/>
        </w:rPr>
      </w:pPr>
      <w:r w:rsidRPr="00D444A8">
        <w:t xml:space="preserve">In </w:t>
      </w:r>
      <w:r w:rsidR="007729A2" w:rsidRPr="00D444A8">
        <w:t xml:space="preserve">the previous </w:t>
      </w:r>
      <w:r w:rsidRPr="00D444A8">
        <w:t>section</w:t>
      </w:r>
      <w:r w:rsidR="007729A2" w:rsidRPr="00D444A8">
        <w:t>s</w:t>
      </w:r>
      <w:r w:rsidRPr="00D444A8">
        <w:t xml:space="preserve"> we made the following observation</w:t>
      </w:r>
      <w:r w:rsidR="00732C81">
        <w:t>s</w:t>
      </w:r>
      <w:r w:rsidRPr="00D444A8">
        <w:t>:</w:t>
      </w:r>
      <w:r w:rsidR="00C93814" w:rsidRPr="00D444A8">
        <w:rPr>
          <w:b/>
          <w:bCs/>
        </w:rPr>
        <w:t xml:space="preserve"> </w:t>
      </w:r>
    </w:p>
    <w:p w14:paraId="16FF4832" w14:textId="3EE5207B" w:rsidR="00014424"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sidRPr="00410ECF">
        <w:rPr>
          <w:b w:val="0"/>
          <w:bCs/>
          <w:highlight w:val="yellow"/>
        </w:rPr>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42589274" w:history="1">
        <w:r w:rsidR="00014424" w:rsidRPr="00633D03">
          <w:rPr>
            <w:rStyle w:val="Hyperlink"/>
            <w:noProof/>
          </w:rPr>
          <w:t>Observation 1</w:t>
        </w:r>
        <w:r w:rsidR="00014424">
          <w:rPr>
            <w:rFonts w:asciiTheme="minorHAnsi" w:eastAsiaTheme="minorEastAsia" w:hAnsiTheme="minorHAnsi" w:cstheme="minorBidi"/>
            <w:b w:val="0"/>
            <w:noProof/>
            <w:sz w:val="22"/>
            <w:szCs w:val="22"/>
            <w:lang w:val="en-SE" w:eastAsia="en-SE"/>
          </w:rPr>
          <w:tab/>
        </w:r>
        <w:r w:rsidR="00014424" w:rsidRPr="00633D03">
          <w:rPr>
            <w:rStyle w:val="Hyperlink"/>
            <w:noProof/>
          </w:rPr>
          <w:t>If the candidate SN generates execution conditions for subsequent CPC in case of MN-initiated CPA, different triggering conditions will be achieved for CPA and CPC.</w:t>
        </w:r>
      </w:hyperlink>
    </w:p>
    <w:p w14:paraId="5A815D63" w14:textId="04C56D94"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75" w:history="1">
        <w:r w:rsidRPr="00633D03">
          <w:rPr>
            <w:rStyle w:val="Hyperlink"/>
            <w:noProof/>
          </w:rPr>
          <w:t>Observation 2</w:t>
        </w:r>
        <w:r>
          <w:rPr>
            <w:rFonts w:asciiTheme="minorHAnsi" w:eastAsiaTheme="minorEastAsia" w:hAnsiTheme="minorHAnsi" w:cstheme="minorBidi"/>
            <w:b w:val="0"/>
            <w:noProof/>
            <w:sz w:val="22"/>
            <w:szCs w:val="22"/>
            <w:lang w:val="en-SE" w:eastAsia="en-SE"/>
          </w:rPr>
          <w:tab/>
        </w:r>
        <w:r w:rsidRPr="00633D03">
          <w:rPr>
            <w:rStyle w:val="Hyperlink"/>
            <w:noProof/>
          </w:rPr>
          <w:t>An intra-SN CPC configuration in SN format cannot be used after an inter-SN PSCell change.</w:t>
        </w:r>
      </w:hyperlink>
    </w:p>
    <w:p w14:paraId="7570C759" w14:textId="2FE873C9" w:rsidR="006E1C82" w:rsidRDefault="006F6582" w:rsidP="008E065E">
      <w:pPr>
        <w:pStyle w:val="BodyText"/>
        <w:rPr>
          <w:b/>
          <w:bCs/>
        </w:rPr>
      </w:pPr>
      <w:r w:rsidRPr="00410ECF">
        <w:rPr>
          <w:b/>
          <w:bCs/>
          <w:highlight w:val="yellow"/>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3C164F" w14:textId="3B987272" w:rsidR="0001442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89277" w:history="1">
        <w:r w:rsidR="00014424" w:rsidRPr="002F646D">
          <w:rPr>
            <w:rStyle w:val="Hyperlink"/>
            <w:noProof/>
          </w:rPr>
          <w:t>Proposal 1</w:t>
        </w:r>
        <w:r w:rsidR="00014424">
          <w:rPr>
            <w:rFonts w:asciiTheme="minorHAnsi" w:eastAsiaTheme="minorEastAsia" w:hAnsiTheme="minorHAnsi" w:cstheme="minorBidi"/>
            <w:b w:val="0"/>
            <w:noProof/>
            <w:sz w:val="22"/>
            <w:szCs w:val="22"/>
            <w:lang w:val="en-SE" w:eastAsia="en-SE"/>
          </w:rPr>
          <w:tab/>
        </w:r>
        <w:r w:rsidR="00014424" w:rsidRPr="002F646D">
          <w:rPr>
            <w:rStyle w:val="Hyperlink"/>
            <w:noProof/>
          </w:rPr>
          <w:t xml:space="preserve">Candidate configurations for Subsequent CPAC are provided with </w:t>
        </w:r>
        <w:r w:rsidR="00014424" w:rsidRPr="002F646D">
          <w:rPr>
            <w:rStyle w:val="Hyperlink"/>
            <w:i/>
            <w:iCs/>
            <w:noProof/>
          </w:rPr>
          <w:t>CondReconfigToAddMod</w:t>
        </w:r>
        <w:r w:rsidR="00014424" w:rsidRPr="002F646D">
          <w:rPr>
            <w:rStyle w:val="Hyperlink"/>
            <w:noProof/>
          </w:rPr>
          <w:t xml:space="preserve"> in </w:t>
        </w:r>
        <w:r w:rsidR="00014424" w:rsidRPr="002F646D">
          <w:rPr>
            <w:rStyle w:val="Hyperlink"/>
            <w:i/>
            <w:iCs/>
            <w:noProof/>
          </w:rPr>
          <w:t>ConditionalReconfiguration</w:t>
        </w:r>
        <w:r w:rsidR="00014424" w:rsidRPr="002F646D">
          <w:rPr>
            <w:rStyle w:val="Hyperlink"/>
            <w:noProof/>
          </w:rPr>
          <w:t>, by inclusion of related Rel-18 information.</w:t>
        </w:r>
      </w:hyperlink>
    </w:p>
    <w:p w14:paraId="5830BCD9" w14:textId="47FECA4F"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78" w:history="1">
        <w:r w:rsidRPr="002F646D">
          <w:rPr>
            <w:rStyle w:val="Hyperlink"/>
            <w:noProof/>
          </w:rPr>
          <w:t>Proposal 2</w:t>
        </w:r>
        <w:r>
          <w:rPr>
            <w:rFonts w:asciiTheme="minorHAnsi" w:eastAsiaTheme="minorEastAsia" w:hAnsiTheme="minorHAnsi" w:cstheme="minorBidi"/>
            <w:b w:val="0"/>
            <w:noProof/>
            <w:sz w:val="22"/>
            <w:szCs w:val="22"/>
            <w:lang w:val="en-SE" w:eastAsia="en-SE"/>
          </w:rPr>
          <w:tab/>
        </w:r>
        <w:r w:rsidRPr="002F646D">
          <w:rPr>
            <w:rStyle w:val="Hyperlink"/>
            <w:noProof/>
          </w:rPr>
          <w:t xml:space="preserve">The network can, in the </w:t>
        </w:r>
        <w:r w:rsidRPr="002F646D">
          <w:rPr>
            <w:rStyle w:val="Hyperlink"/>
            <w:i/>
            <w:iCs/>
            <w:noProof/>
          </w:rPr>
          <w:t>CondReconfigToAddMod</w:t>
        </w:r>
        <w:r w:rsidRPr="002F646D">
          <w:rPr>
            <w:rStyle w:val="Hyperlink"/>
            <w:noProof/>
          </w:rPr>
          <w:t xml:space="preserve"> for the executed candidate configuration, indicate updates of execution conditions for the other candidate configurations at the execution (i.e. for subsequent CPC).</w:t>
        </w:r>
      </w:hyperlink>
    </w:p>
    <w:p w14:paraId="60C9BD40" w14:textId="72EFA641"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79" w:history="1">
        <w:r w:rsidRPr="002F646D">
          <w:rPr>
            <w:rStyle w:val="Hyperlink"/>
            <w:noProof/>
          </w:rPr>
          <w:t>Proposal 3</w:t>
        </w:r>
        <w:r>
          <w:rPr>
            <w:rFonts w:asciiTheme="minorHAnsi" w:eastAsiaTheme="minorEastAsia" w:hAnsiTheme="minorHAnsi" w:cstheme="minorBidi"/>
            <w:b w:val="0"/>
            <w:noProof/>
            <w:sz w:val="22"/>
            <w:szCs w:val="22"/>
            <w:lang w:val="en-SE" w:eastAsia="en-SE"/>
          </w:rPr>
          <w:tab/>
        </w:r>
        <w:r w:rsidRPr="002F646D">
          <w:rPr>
            <w:rStyle w:val="Hyperlink"/>
            <w:noProof/>
          </w:rPr>
          <w:t>During the configuration of Subsequent CPAC, the MN provides information about other Subsequent CPAC candidates to the candidate T-SN (for subsequent CPC). The candidate T-SN includes the corresponding execution conditions for subsequent CPC in the response inter-node RRC messages to the MN.</w:t>
        </w:r>
      </w:hyperlink>
    </w:p>
    <w:p w14:paraId="366E3A16" w14:textId="56067BC3"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0" w:history="1">
        <w:r w:rsidRPr="002F646D">
          <w:rPr>
            <w:rStyle w:val="Hyperlink"/>
            <w:noProof/>
          </w:rPr>
          <w:t>Proposal 4</w:t>
        </w:r>
        <w:r>
          <w:rPr>
            <w:rFonts w:asciiTheme="minorHAnsi" w:eastAsiaTheme="minorEastAsia" w:hAnsiTheme="minorHAnsi" w:cstheme="minorBidi"/>
            <w:b w:val="0"/>
            <w:noProof/>
            <w:sz w:val="22"/>
            <w:szCs w:val="22"/>
            <w:lang w:val="en-SE" w:eastAsia="en-SE"/>
          </w:rPr>
          <w:tab/>
        </w:r>
        <w:r w:rsidRPr="002F646D">
          <w:rPr>
            <w:rStyle w:val="Hyperlink"/>
            <w:noProof/>
          </w:rPr>
          <w:t>The candidate SN can generate execution conditions for subsequent CPC also for MN-initiated scenarios.</w:t>
        </w:r>
      </w:hyperlink>
    </w:p>
    <w:p w14:paraId="3DB71ECE" w14:textId="5112411B"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1" w:history="1">
        <w:r w:rsidRPr="002F646D">
          <w:rPr>
            <w:rStyle w:val="Hyperlink"/>
            <w:noProof/>
          </w:rPr>
          <w:t>Proposal 5</w:t>
        </w:r>
        <w:r>
          <w:rPr>
            <w:rFonts w:asciiTheme="minorHAnsi" w:eastAsiaTheme="minorEastAsia" w:hAnsiTheme="minorHAnsi" w:cstheme="minorBidi"/>
            <w:b w:val="0"/>
            <w:noProof/>
            <w:sz w:val="22"/>
            <w:szCs w:val="22"/>
            <w:lang w:val="en-SE" w:eastAsia="en-SE"/>
          </w:rPr>
          <w:tab/>
        </w:r>
        <w:r w:rsidRPr="002F646D">
          <w:rPr>
            <w:rStyle w:val="Hyperlink"/>
            <w:noProof/>
          </w:rPr>
          <w:t xml:space="preserve">The network should, in </w:t>
        </w:r>
        <w:r w:rsidRPr="002F646D">
          <w:rPr>
            <w:rStyle w:val="Hyperlink"/>
            <w:i/>
            <w:iCs/>
            <w:noProof/>
          </w:rPr>
          <w:t>CondReconfigToAddMod</w:t>
        </w:r>
        <w:r w:rsidRPr="002F646D">
          <w:rPr>
            <w:rStyle w:val="Hyperlink"/>
            <w:noProof/>
          </w:rPr>
          <w:t>, be able to indicate whether the UE should keep or release the other stored candidate configurations for subsequent CPC.</w:t>
        </w:r>
      </w:hyperlink>
    </w:p>
    <w:p w14:paraId="3525A33F" w14:textId="1492D538"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2" w:history="1">
        <w:r w:rsidRPr="002F646D">
          <w:rPr>
            <w:rStyle w:val="Hyperlink"/>
            <w:noProof/>
          </w:rPr>
          <w:t>Proposal 6</w:t>
        </w:r>
        <w:r>
          <w:rPr>
            <w:rFonts w:asciiTheme="minorHAnsi" w:eastAsiaTheme="minorEastAsia" w:hAnsiTheme="minorHAnsi" w:cstheme="minorBidi"/>
            <w:b w:val="0"/>
            <w:noProof/>
            <w:sz w:val="22"/>
            <w:szCs w:val="22"/>
            <w:lang w:val="en-SE" w:eastAsia="en-SE"/>
          </w:rPr>
          <w:tab/>
        </w:r>
        <w:r w:rsidRPr="002F646D">
          <w:rPr>
            <w:rStyle w:val="Hyperlink"/>
            <w:noProof/>
          </w:rPr>
          <w:t>It should be possible for the network to indicate that a candidate configuration that is kept should be considered as not applicable. A not applicable candidate configuration should not be evaluated by the UE.</w:t>
        </w:r>
      </w:hyperlink>
    </w:p>
    <w:p w14:paraId="7FF47CA1" w14:textId="0D429C88"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3" w:history="1">
        <w:r w:rsidRPr="002F646D">
          <w:rPr>
            <w:rStyle w:val="Hyperlink"/>
            <w:noProof/>
          </w:rPr>
          <w:t>Proposal 7</w:t>
        </w:r>
        <w:r>
          <w:rPr>
            <w:rFonts w:asciiTheme="minorHAnsi" w:eastAsiaTheme="minorEastAsia" w:hAnsiTheme="minorHAnsi" w:cstheme="minorBidi"/>
            <w:b w:val="0"/>
            <w:noProof/>
            <w:sz w:val="22"/>
            <w:szCs w:val="22"/>
            <w:lang w:val="en-SE" w:eastAsia="en-SE"/>
          </w:rPr>
          <w:tab/>
        </w:r>
        <w:r w:rsidRPr="002F646D">
          <w:rPr>
            <w:rStyle w:val="Hyperlink"/>
            <w:noProof/>
          </w:rPr>
          <w:t>Consider the Text Proposal in Annex A as a baseline for the configuration of Subsequent CPAC.</w:t>
        </w:r>
      </w:hyperlink>
    </w:p>
    <w:p w14:paraId="615E1709" w14:textId="5C60D037"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4" w:history="1">
        <w:r w:rsidRPr="002F646D">
          <w:rPr>
            <w:rStyle w:val="Hyperlink"/>
            <w:noProof/>
          </w:rPr>
          <w:t>Proposal 8</w:t>
        </w:r>
        <w:r>
          <w:rPr>
            <w:rFonts w:asciiTheme="minorHAnsi" w:eastAsiaTheme="minorEastAsia" w:hAnsiTheme="minorHAnsi" w:cstheme="minorBidi"/>
            <w:b w:val="0"/>
            <w:noProof/>
            <w:sz w:val="22"/>
            <w:szCs w:val="22"/>
            <w:lang w:val="en-SE" w:eastAsia="en-SE"/>
          </w:rPr>
          <w:tab/>
        </w:r>
        <w:r w:rsidRPr="002F646D">
          <w:rPr>
            <w:rStyle w:val="Hyperlink"/>
            <w:noProof/>
          </w:rPr>
          <w:t>For Rel-18 Subsequent CPAC, it should be supported to configure CPC for an intra-SN candidate target PSCell in MN format.</w:t>
        </w:r>
      </w:hyperlink>
    </w:p>
    <w:p w14:paraId="71A6997F" w14:textId="494B017D"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5" w:history="1">
        <w:r w:rsidRPr="002F646D">
          <w:rPr>
            <w:rStyle w:val="Hyperlink"/>
            <w:noProof/>
          </w:rPr>
          <w:t>Proposal 9</w:t>
        </w:r>
        <w:r>
          <w:rPr>
            <w:rFonts w:asciiTheme="minorHAnsi" w:eastAsiaTheme="minorEastAsia" w:hAnsiTheme="minorHAnsi" w:cstheme="minorBidi"/>
            <w:b w:val="0"/>
            <w:noProof/>
            <w:sz w:val="22"/>
            <w:szCs w:val="22"/>
            <w:lang w:val="en-SE" w:eastAsia="en-SE"/>
          </w:rPr>
          <w:tab/>
        </w:r>
        <w:r w:rsidRPr="002F646D">
          <w:rPr>
            <w:rStyle w:val="Hyperlink"/>
            <w:noProof/>
          </w:rPr>
          <w:t xml:space="preserve">The UE can be configured to release (or keep) Subsequent CPAC configurations at other RRC Reconfigurations, e.g. at handover, by explicit indication from network. The explicit indication consists of that candidate configurations are released using the </w:t>
        </w:r>
        <w:r w:rsidRPr="002F646D">
          <w:rPr>
            <w:rStyle w:val="Hyperlink"/>
            <w:i/>
            <w:iCs/>
            <w:noProof/>
          </w:rPr>
          <w:t>condReconfigToRemoveList</w:t>
        </w:r>
        <w:r w:rsidRPr="002F646D">
          <w:rPr>
            <w:rStyle w:val="Hyperlink"/>
            <w:noProof/>
          </w:rPr>
          <w:t xml:space="preserve"> in </w:t>
        </w:r>
        <w:r w:rsidRPr="002F646D">
          <w:rPr>
            <w:rStyle w:val="Hyperlink"/>
            <w:i/>
            <w:iCs/>
            <w:noProof/>
          </w:rPr>
          <w:t>ConditionalReconfiguration</w:t>
        </w:r>
        <w:r w:rsidRPr="002F646D">
          <w:rPr>
            <w:rStyle w:val="Hyperlink"/>
            <w:noProof/>
          </w:rPr>
          <w:t>.</w:t>
        </w:r>
      </w:hyperlink>
    </w:p>
    <w:p w14:paraId="1F5B8630" w14:textId="51A74367"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6" w:history="1">
        <w:r w:rsidRPr="002F646D">
          <w:rPr>
            <w:rStyle w:val="Hyperlink"/>
            <w:noProof/>
          </w:rPr>
          <w:t>Proposal 10</w:t>
        </w:r>
        <w:r>
          <w:rPr>
            <w:rFonts w:asciiTheme="minorHAnsi" w:eastAsiaTheme="minorEastAsia" w:hAnsiTheme="minorHAnsi" w:cstheme="minorBidi"/>
            <w:b w:val="0"/>
            <w:noProof/>
            <w:sz w:val="22"/>
            <w:szCs w:val="22"/>
            <w:lang w:val="en-SE" w:eastAsia="en-SE"/>
          </w:rPr>
          <w:tab/>
        </w:r>
        <w:r w:rsidRPr="002F646D">
          <w:rPr>
            <w:rStyle w:val="Hyperlink"/>
            <w:noProof/>
          </w:rPr>
          <w:t xml:space="preserve">The reference configuration for Subsequent CPAC should consist of an </w:t>
        </w:r>
        <w:r w:rsidRPr="002F646D">
          <w:rPr>
            <w:rStyle w:val="Hyperlink"/>
            <w:i/>
            <w:noProof/>
          </w:rPr>
          <w:t>RRCReconfiguration</w:t>
        </w:r>
        <w:r w:rsidRPr="002F646D">
          <w:rPr>
            <w:rStyle w:val="Hyperlink"/>
            <w:noProof/>
          </w:rPr>
          <w:t xml:space="preserve"> message, which can include both SCG and MCG configurations.</w:t>
        </w:r>
      </w:hyperlink>
    </w:p>
    <w:p w14:paraId="1537AC64" w14:textId="3D8D8F2F"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7" w:history="1">
        <w:r w:rsidRPr="002F646D">
          <w:rPr>
            <w:rStyle w:val="Hyperlink"/>
            <w:noProof/>
          </w:rPr>
          <w:t>Proposal 11</w:t>
        </w:r>
        <w:r>
          <w:rPr>
            <w:rFonts w:asciiTheme="minorHAnsi" w:eastAsiaTheme="minorEastAsia" w:hAnsiTheme="minorHAnsi" w:cstheme="minorBidi"/>
            <w:b w:val="0"/>
            <w:noProof/>
            <w:sz w:val="22"/>
            <w:szCs w:val="22"/>
            <w:lang w:val="en-SE" w:eastAsia="en-SE"/>
          </w:rPr>
          <w:tab/>
        </w:r>
        <w:r w:rsidRPr="002F646D">
          <w:rPr>
            <w:rStyle w:val="Hyperlink"/>
            <w:noProof/>
          </w:rPr>
          <w:t>The reference configuration IE/field for candidate cell configurations, for Subsequent CPAC, is optional. It is up to the network whether to provide a reference configuration to the UE.</w:t>
        </w:r>
      </w:hyperlink>
    </w:p>
    <w:p w14:paraId="13DD40B6" w14:textId="6AC69706"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8" w:history="1">
        <w:r w:rsidRPr="002F646D">
          <w:rPr>
            <w:rStyle w:val="Hyperlink"/>
            <w:noProof/>
          </w:rPr>
          <w:t>Proposal 12</w:t>
        </w:r>
        <w:r>
          <w:rPr>
            <w:rFonts w:asciiTheme="minorHAnsi" w:eastAsiaTheme="minorEastAsia" w:hAnsiTheme="minorHAnsi" w:cstheme="minorBidi"/>
            <w:b w:val="0"/>
            <w:noProof/>
            <w:sz w:val="22"/>
            <w:szCs w:val="22"/>
            <w:lang w:val="en-SE" w:eastAsia="en-SE"/>
          </w:rPr>
          <w:tab/>
        </w:r>
        <w:r w:rsidRPr="002F646D">
          <w:rPr>
            <w:rStyle w:val="Hyperlink"/>
            <w:noProof/>
          </w:rPr>
          <w:t>The UE, when receiving a candidate target cell configuration for Subsequent CPAC, should be aware whether it is a delta configuration on top of a reference configuration or if it is a full configuration.</w:t>
        </w:r>
      </w:hyperlink>
    </w:p>
    <w:p w14:paraId="2A084B6D" w14:textId="1BF89B3F"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89" w:history="1">
        <w:r w:rsidRPr="002F646D">
          <w:rPr>
            <w:rStyle w:val="Hyperlink"/>
            <w:noProof/>
          </w:rPr>
          <w:t>Proposal 13</w:t>
        </w:r>
        <w:r>
          <w:rPr>
            <w:rFonts w:asciiTheme="minorHAnsi" w:eastAsiaTheme="minorEastAsia" w:hAnsiTheme="minorHAnsi" w:cstheme="minorBidi"/>
            <w:b w:val="0"/>
            <w:noProof/>
            <w:sz w:val="22"/>
            <w:szCs w:val="22"/>
            <w:lang w:val="en-SE" w:eastAsia="en-SE"/>
          </w:rPr>
          <w:tab/>
        </w:r>
        <w:r w:rsidRPr="002F646D">
          <w:rPr>
            <w:rStyle w:val="Hyperlink"/>
            <w:noProof/>
          </w:rPr>
          <w:t>The MN initially generates the MCG part of the reference configuration.</w:t>
        </w:r>
      </w:hyperlink>
    </w:p>
    <w:p w14:paraId="1B426F1D" w14:textId="64858145"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90" w:history="1">
        <w:r w:rsidRPr="002F646D">
          <w:rPr>
            <w:rStyle w:val="Hyperlink"/>
            <w:noProof/>
          </w:rPr>
          <w:t>Proposal 14</w:t>
        </w:r>
        <w:r>
          <w:rPr>
            <w:rFonts w:asciiTheme="minorHAnsi" w:eastAsiaTheme="minorEastAsia" w:hAnsiTheme="minorHAnsi" w:cstheme="minorBidi"/>
            <w:b w:val="0"/>
            <w:noProof/>
            <w:sz w:val="22"/>
            <w:szCs w:val="22"/>
            <w:lang w:val="en-SE" w:eastAsia="en-SE"/>
          </w:rPr>
          <w:tab/>
        </w:r>
        <w:r w:rsidRPr="002F646D">
          <w:rPr>
            <w:rStyle w:val="Hyperlink"/>
            <w:noProof/>
          </w:rPr>
          <w:t>The SCG part of the reference configuration is initially generated by one of the SNs. The MN should be able to request an SCG reference configuration from any of the involved SNs.</w:t>
        </w:r>
      </w:hyperlink>
    </w:p>
    <w:p w14:paraId="5EAD6F32" w14:textId="225211DB" w:rsidR="00014424" w:rsidRDefault="0001442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89291" w:history="1">
        <w:r w:rsidRPr="002F646D">
          <w:rPr>
            <w:rStyle w:val="Hyperlink"/>
            <w:noProof/>
          </w:rPr>
          <w:t>Proposal 15</w:t>
        </w:r>
        <w:r>
          <w:rPr>
            <w:rFonts w:asciiTheme="minorHAnsi" w:eastAsiaTheme="minorEastAsia" w:hAnsiTheme="minorHAnsi" w:cstheme="minorBidi"/>
            <w:b w:val="0"/>
            <w:noProof/>
            <w:sz w:val="22"/>
            <w:szCs w:val="22"/>
            <w:lang w:val="en-SE" w:eastAsia="en-SE"/>
          </w:rPr>
          <w:tab/>
        </w:r>
        <w:r w:rsidRPr="002F646D">
          <w:rPr>
            <w:rStyle w:val="Hyperlink"/>
            <w:noProof/>
          </w:rPr>
          <w:t>For the SN-initiated case, the S-SN can provide an SCG reference configuration to the MN when initiating the procedure.</w:t>
        </w:r>
      </w:hyperlink>
    </w:p>
    <w:p w14:paraId="0307436E" w14:textId="3E8FABD4" w:rsidR="006E1C82" w:rsidRPr="00CE0424" w:rsidRDefault="006E1C82" w:rsidP="006E1C82">
      <w:pPr>
        <w:pStyle w:val="BodyText"/>
        <w:rPr>
          <w:b/>
          <w:bCs/>
        </w:rPr>
      </w:pPr>
      <w:r>
        <w:rPr>
          <w:b/>
          <w:bCs/>
          <w:lang w:val="en-US"/>
        </w:rPr>
        <w:lastRenderedPageBreak/>
        <w:fldChar w:fldCharType="end"/>
      </w:r>
      <w:r w:rsidRPr="00CE0424">
        <w:rPr>
          <w:b/>
          <w:bCs/>
        </w:rPr>
        <w:t xml:space="preserve"> </w:t>
      </w:r>
    </w:p>
    <w:p w14:paraId="7BD5CFC3" w14:textId="77777777" w:rsidR="00F507D1" w:rsidRPr="00CE0424" w:rsidRDefault="00F507D1" w:rsidP="00CE0424">
      <w:pPr>
        <w:pStyle w:val="Heading1"/>
      </w:pPr>
      <w:bookmarkStart w:id="31" w:name="_In-sequence_SDU_delivery"/>
      <w:bookmarkEnd w:id="31"/>
      <w:r w:rsidRPr="00CE0424">
        <w:t>References</w:t>
      </w:r>
    </w:p>
    <w:p w14:paraId="5DCC939F" w14:textId="001A182D" w:rsidR="003A7EF3" w:rsidRDefault="009F161B" w:rsidP="00CE0424">
      <w:pPr>
        <w:pStyle w:val="Reference"/>
      </w:pPr>
      <w:bookmarkStart w:id="32" w:name="_Ref107489175"/>
      <w:bookmarkStart w:id="33" w:name="_Ref174151459"/>
      <w:bookmarkStart w:id="34"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xml:space="preserve">, </w:t>
      </w:r>
      <w:proofErr w:type="gramStart"/>
      <w:r w:rsidR="00FD4266" w:rsidRPr="00FD4266">
        <w:t>2022</w:t>
      </w:r>
      <w:bookmarkEnd w:id="32"/>
      <w:bookmarkEnd w:id="33"/>
      <w:bookmarkEnd w:id="34"/>
      <w:proofErr w:type="gramEnd"/>
    </w:p>
    <w:p w14:paraId="4E477796" w14:textId="26C3A2AA" w:rsidR="00FF1575" w:rsidRDefault="00FF1575" w:rsidP="00FF1575">
      <w:pPr>
        <w:pStyle w:val="Reference"/>
        <w:numPr>
          <w:ilvl w:val="0"/>
          <w:numId w:val="0"/>
        </w:numPr>
        <w:ind w:left="567" w:hanging="567"/>
      </w:pPr>
    </w:p>
    <w:p w14:paraId="431E7749" w14:textId="51F26363" w:rsidR="00FF1575" w:rsidRPr="00CE0424" w:rsidRDefault="00FF1575" w:rsidP="00FF1575">
      <w:pPr>
        <w:pStyle w:val="Heading1"/>
      </w:pPr>
      <w:r>
        <w:t>Annex A – Text Proposal</w:t>
      </w:r>
    </w:p>
    <w:p w14:paraId="70E9F78E" w14:textId="5A4BD70F" w:rsidR="00FF1575" w:rsidRDefault="00FF1575" w:rsidP="00FF1575">
      <w:pPr>
        <w:pStyle w:val="Reference"/>
        <w:numPr>
          <w:ilvl w:val="0"/>
          <w:numId w:val="0"/>
        </w:numPr>
        <w:ind w:left="567" w:hanging="567"/>
      </w:pPr>
      <w:r>
        <w:t>Below is a Text Proposal to TS 38.331, 17.3.0</w:t>
      </w:r>
    </w:p>
    <w:p w14:paraId="73E52A94" w14:textId="77777777" w:rsidR="006F2DB7" w:rsidRPr="00F43A82" w:rsidRDefault="006F2DB7" w:rsidP="006F2DB7">
      <w:pPr>
        <w:pStyle w:val="PL"/>
        <w:rPr>
          <w:color w:val="808080"/>
        </w:rPr>
      </w:pPr>
      <w:r w:rsidRPr="00F43A82">
        <w:rPr>
          <w:color w:val="808080"/>
        </w:rPr>
        <w:t>-- ASN1START</w:t>
      </w:r>
    </w:p>
    <w:p w14:paraId="399F5299" w14:textId="77777777" w:rsidR="006F2DB7" w:rsidRPr="00F43A82" w:rsidRDefault="006F2DB7" w:rsidP="006F2DB7">
      <w:pPr>
        <w:pStyle w:val="PL"/>
        <w:rPr>
          <w:color w:val="808080"/>
        </w:rPr>
      </w:pPr>
      <w:r w:rsidRPr="00F43A82">
        <w:rPr>
          <w:color w:val="808080"/>
        </w:rPr>
        <w:t>-- TAG-CONDRECONFIGTOADDMODLIST-START</w:t>
      </w:r>
    </w:p>
    <w:p w14:paraId="3030818A" w14:textId="77777777" w:rsidR="006F2DB7" w:rsidRPr="00F43A82" w:rsidRDefault="006F2DB7" w:rsidP="006F2DB7">
      <w:pPr>
        <w:pStyle w:val="PL"/>
      </w:pPr>
    </w:p>
    <w:p w14:paraId="4FE64953" w14:textId="77777777" w:rsidR="006F2DB7" w:rsidRPr="00F43A82" w:rsidRDefault="006F2DB7" w:rsidP="006F2DB7">
      <w:pPr>
        <w:pStyle w:val="PL"/>
      </w:pPr>
      <w:r w:rsidRPr="00F43A82">
        <w:t xml:space="preserve">CondReconfigToAddModList-r16 ::= </w:t>
      </w:r>
      <w:r w:rsidRPr="00F43A82">
        <w:rPr>
          <w:color w:val="993366"/>
        </w:rPr>
        <w:t>SEQUENCE</w:t>
      </w:r>
      <w:r w:rsidRPr="00F43A82">
        <w:t xml:space="preserve"> (</w:t>
      </w:r>
      <w:r w:rsidRPr="00F43A82">
        <w:rPr>
          <w:color w:val="993366"/>
        </w:rPr>
        <w:t>SIZE</w:t>
      </w:r>
      <w:r w:rsidRPr="00F43A82">
        <w:t xml:space="preserve"> (1.. maxNrofCondCells-r16))</w:t>
      </w:r>
      <w:r w:rsidRPr="00F43A82">
        <w:rPr>
          <w:color w:val="993366"/>
        </w:rPr>
        <w:t xml:space="preserve"> OF</w:t>
      </w:r>
      <w:r w:rsidRPr="00F43A82">
        <w:t xml:space="preserve"> CondReconfigToAddMod-r16</w:t>
      </w:r>
    </w:p>
    <w:p w14:paraId="5097C5D9" w14:textId="77777777" w:rsidR="006F2DB7" w:rsidRPr="00F43A82" w:rsidRDefault="006F2DB7" w:rsidP="006F2DB7">
      <w:pPr>
        <w:pStyle w:val="PL"/>
      </w:pPr>
    </w:p>
    <w:p w14:paraId="698E07B9" w14:textId="77777777" w:rsidR="006F2DB7" w:rsidRPr="00F43A82" w:rsidRDefault="006F2DB7" w:rsidP="006F2DB7">
      <w:pPr>
        <w:pStyle w:val="PL"/>
      </w:pPr>
      <w:r w:rsidRPr="00F43A82">
        <w:t xml:space="preserve">CondReconfigToAddMod-r16 ::=     </w:t>
      </w:r>
      <w:r w:rsidRPr="00F43A82">
        <w:rPr>
          <w:color w:val="993366"/>
        </w:rPr>
        <w:t>SEQUENCE</w:t>
      </w:r>
      <w:r w:rsidRPr="00F43A82">
        <w:t xml:space="preserve"> {</w:t>
      </w:r>
    </w:p>
    <w:p w14:paraId="08CB21A5" w14:textId="77777777" w:rsidR="006F2DB7" w:rsidRPr="00F43A82" w:rsidRDefault="006F2DB7" w:rsidP="006F2DB7">
      <w:pPr>
        <w:pStyle w:val="PL"/>
      </w:pPr>
      <w:r w:rsidRPr="00F43A82">
        <w:t xml:space="preserve">    condReconfigId-r16               CondReconfigId-r16,</w:t>
      </w:r>
    </w:p>
    <w:p w14:paraId="73D67DD2" w14:textId="77777777" w:rsidR="006F2DB7" w:rsidRPr="00F43A82" w:rsidRDefault="006F2DB7" w:rsidP="006F2DB7">
      <w:pPr>
        <w:pStyle w:val="PL"/>
        <w:rPr>
          <w:color w:val="808080"/>
        </w:rPr>
      </w:pPr>
      <w:r w:rsidRPr="00F43A82">
        <w:t xml:space="preserve">    condExecutionCond-r16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                      </w:t>
      </w:r>
      <w:r w:rsidRPr="00F43A82">
        <w:rPr>
          <w:color w:val="993366"/>
        </w:rPr>
        <w:t>OPTIONAL</w:t>
      </w:r>
      <w:r w:rsidRPr="00F43A82">
        <w:t xml:space="preserve">,    </w:t>
      </w:r>
      <w:r w:rsidRPr="00F43A82">
        <w:rPr>
          <w:color w:val="808080"/>
        </w:rPr>
        <w:t>-- Need M</w:t>
      </w:r>
    </w:p>
    <w:p w14:paraId="06A5DB0D" w14:textId="77777777" w:rsidR="006F2DB7" w:rsidRPr="00F43A82" w:rsidRDefault="006F2DB7" w:rsidP="006F2DB7">
      <w:pPr>
        <w:pStyle w:val="PL"/>
        <w:rPr>
          <w:color w:val="808080"/>
        </w:rPr>
      </w:pPr>
      <w:r w:rsidRPr="00F43A82">
        <w:t xml:space="preserve">    condRRCReconfig-r16              </w:t>
      </w:r>
      <w:r w:rsidRPr="00F43A82">
        <w:rPr>
          <w:color w:val="993366"/>
        </w:rPr>
        <w:t>OCTET</w:t>
      </w:r>
      <w:r w:rsidRPr="00F43A82">
        <w:t xml:space="preserve"> </w:t>
      </w:r>
      <w:r w:rsidRPr="00F43A82">
        <w:rPr>
          <w:color w:val="993366"/>
        </w:rPr>
        <w:t>STRING</w:t>
      </w:r>
      <w:r w:rsidRPr="00F43A82">
        <w:t xml:space="preserve"> (CONTAINING RRCReconfiguration)          </w:t>
      </w:r>
      <w:r w:rsidRPr="00F43A82">
        <w:rPr>
          <w:color w:val="993366"/>
        </w:rPr>
        <w:t>OPTIONAL</w:t>
      </w:r>
      <w:r w:rsidRPr="00F43A82">
        <w:t xml:space="preserve">,    </w:t>
      </w:r>
      <w:r w:rsidRPr="00F43A82">
        <w:rPr>
          <w:color w:val="808080"/>
        </w:rPr>
        <w:t>-- Cond condReconfigAdd</w:t>
      </w:r>
    </w:p>
    <w:p w14:paraId="23D13BA5" w14:textId="77777777" w:rsidR="006F2DB7" w:rsidRPr="00F43A82" w:rsidRDefault="006F2DB7" w:rsidP="006F2DB7">
      <w:pPr>
        <w:pStyle w:val="PL"/>
      </w:pPr>
      <w:r w:rsidRPr="00F43A82">
        <w:t xml:space="preserve">    ...,</w:t>
      </w:r>
    </w:p>
    <w:p w14:paraId="2CE9EC14" w14:textId="77777777" w:rsidR="006F2DB7" w:rsidRPr="00F43A82" w:rsidRDefault="006F2DB7" w:rsidP="006F2DB7">
      <w:pPr>
        <w:pStyle w:val="PL"/>
      </w:pPr>
      <w:r w:rsidRPr="00F43A82">
        <w:t xml:space="preserve">    [[</w:t>
      </w:r>
    </w:p>
    <w:p w14:paraId="25128B84" w14:textId="77777777" w:rsidR="006F2DB7" w:rsidRPr="00F43A82" w:rsidRDefault="006F2DB7" w:rsidP="006F2DB7">
      <w:pPr>
        <w:pStyle w:val="PL"/>
        <w:rPr>
          <w:color w:val="808080"/>
        </w:rPr>
      </w:pPr>
      <w:r w:rsidRPr="00F43A82">
        <w:t xml:space="preserve">    condExecutionCondSCG-r17         </w:t>
      </w:r>
      <w:r w:rsidRPr="00F43A82">
        <w:rPr>
          <w:color w:val="993366"/>
        </w:rPr>
        <w:t>OCTET</w:t>
      </w:r>
      <w:r w:rsidRPr="00F43A82">
        <w:t xml:space="preserve"> </w:t>
      </w:r>
      <w:r w:rsidRPr="00F43A82">
        <w:rPr>
          <w:color w:val="993366"/>
        </w:rPr>
        <w:t>STRING</w:t>
      </w:r>
      <w:r w:rsidRPr="00F43A82">
        <w:t xml:space="preserve"> (CONTAINING CondReconfigExecCondSCG-r17) </w:t>
      </w:r>
      <w:r w:rsidRPr="00F43A82">
        <w:rPr>
          <w:color w:val="993366"/>
        </w:rPr>
        <w:t>OPTIONAL</w:t>
      </w:r>
      <w:r w:rsidRPr="00F43A82">
        <w:t xml:space="preserve">     </w:t>
      </w:r>
      <w:r w:rsidRPr="00F43A82">
        <w:rPr>
          <w:color w:val="808080"/>
        </w:rPr>
        <w:t>-- Need M</w:t>
      </w:r>
    </w:p>
    <w:p w14:paraId="537F0F09" w14:textId="77777777" w:rsidR="006F2DB7" w:rsidRPr="00FF1575" w:rsidRDefault="006F2DB7" w:rsidP="006F2DB7">
      <w:pPr>
        <w:pStyle w:val="PL"/>
        <w:rPr>
          <w:color w:val="FF0000"/>
          <w:u w:val="single"/>
        </w:rPr>
      </w:pPr>
      <w:r w:rsidRPr="00F43A82">
        <w:t xml:space="preserve">    ]]</w:t>
      </w:r>
      <w:r w:rsidRPr="00FF1575">
        <w:rPr>
          <w:color w:val="FF0000"/>
          <w:u w:val="single"/>
        </w:rPr>
        <w:t>,</w:t>
      </w:r>
    </w:p>
    <w:p w14:paraId="4C709C11" w14:textId="77777777" w:rsidR="006F2DB7" w:rsidRPr="00FF1575" w:rsidRDefault="006F2DB7" w:rsidP="006F2DB7">
      <w:pPr>
        <w:pStyle w:val="PL"/>
        <w:rPr>
          <w:color w:val="FF0000"/>
          <w:u w:val="single"/>
        </w:rPr>
      </w:pPr>
      <w:r w:rsidRPr="00FF1575">
        <w:rPr>
          <w:color w:val="FF0000"/>
          <w:u w:val="single"/>
        </w:rPr>
        <w:t xml:space="preserve">    [[</w:t>
      </w:r>
    </w:p>
    <w:p w14:paraId="15E76B27" w14:textId="70A14231" w:rsidR="006F2DB7" w:rsidRPr="006F2DB7" w:rsidRDefault="006F2DB7" w:rsidP="006F2DB7">
      <w:pPr>
        <w:pStyle w:val="PL"/>
        <w:rPr>
          <w:color w:val="FF0000"/>
          <w:u w:val="single"/>
        </w:rPr>
      </w:pPr>
      <w:r w:rsidRPr="00FF1575">
        <w:rPr>
          <w:color w:val="FF0000"/>
          <w:u w:val="single"/>
        </w:rPr>
        <w:t xml:space="preserve">    </w:t>
      </w:r>
      <w:r w:rsidR="00CE216D">
        <w:rPr>
          <w:color w:val="FF0000"/>
          <w:u w:val="single"/>
        </w:rPr>
        <w:t>subsequentCondReconfig</w:t>
      </w:r>
      <w:r w:rsidRPr="00FF1575">
        <w:rPr>
          <w:color w:val="FF0000"/>
          <w:u w:val="single"/>
        </w:rPr>
        <w:t xml:space="preserve">-r18      </w:t>
      </w:r>
      <w:r w:rsidR="00CE216D">
        <w:rPr>
          <w:color w:val="FF0000"/>
          <w:u w:val="single"/>
        </w:rPr>
        <w:t>SubsequentCondReconfig</w:t>
      </w:r>
      <w:r w:rsidRPr="00FF1575">
        <w:rPr>
          <w:color w:val="FF0000"/>
          <w:u w:val="single"/>
        </w:rPr>
        <w:t>-r18</w:t>
      </w:r>
      <w:r w:rsidRPr="00FF1575">
        <w:rPr>
          <w:color w:val="FF0000"/>
          <w:u w:val="single"/>
        </w:rPr>
        <w:tab/>
        <w:t>OPTIONAL     -- Need M</w:t>
      </w:r>
    </w:p>
    <w:p w14:paraId="46F23782" w14:textId="77777777" w:rsidR="006F2DB7" w:rsidRPr="00FF1575" w:rsidRDefault="006F2DB7" w:rsidP="006F2DB7">
      <w:pPr>
        <w:pStyle w:val="PL"/>
        <w:rPr>
          <w:color w:val="FF0000"/>
          <w:u w:val="single"/>
        </w:rPr>
      </w:pPr>
      <w:r w:rsidRPr="00FF1575">
        <w:rPr>
          <w:color w:val="FF0000"/>
          <w:u w:val="single"/>
        </w:rPr>
        <w:t xml:space="preserve">    ]]</w:t>
      </w:r>
    </w:p>
    <w:p w14:paraId="55485EFA" w14:textId="77777777" w:rsidR="006F2DB7" w:rsidRPr="00F43A82" w:rsidRDefault="006F2DB7" w:rsidP="006F2DB7">
      <w:pPr>
        <w:pStyle w:val="PL"/>
      </w:pPr>
      <w:r w:rsidRPr="00F43A82">
        <w:t>}</w:t>
      </w:r>
    </w:p>
    <w:p w14:paraId="5470741C" w14:textId="77777777" w:rsidR="006F2DB7" w:rsidRPr="00F43A82" w:rsidRDefault="006F2DB7" w:rsidP="006F2DB7">
      <w:pPr>
        <w:pStyle w:val="PL"/>
      </w:pPr>
    </w:p>
    <w:p w14:paraId="79234776" w14:textId="77777777" w:rsidR="006F2DB7" w:rsidRPr="00F43A82" w:rsidRDefault="006F2DB7" w:rsidP="006F2DB7">
      <w:pPr>
        <w:pStyle w:val="PL"/>
      </w:pPr>
      <w:r w:rsidRPr="00F43A82">
        <w:t xml:space="preserve">CondReconfigExecCondSCG-r17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w:t>
      </w:r>
    </w:p>
    <w:p w14:paraId="59796C48" w14:textId="64224B79" w:rsidR="006F2DB7" w:rsidRDefault="006F2DB7" w:rsidP="006F2DB7">
      <w:pPr>
        <w:pStyle w:val="PL"/>
      </w:pPr>
    </w:p>
    <w:p w14:paraId="12B647B0" w14:textId="75E8DF89" w:rsidR="00CE216D" w:rsidRDefault="00CE216D" w:rsidP="006F2DB7">
      <w:pPr>
        <w:pStyle w:val="PL"/>
      </w:pPr>
    </w:p>
    <w:p w14:paraId="58E1A8AA" w14:textId="48B12C69" w:rsidR="00CE216D" w:rsidRPr="006F2DB7" w:rsidRDefault="00CE216D" w:rsidP="00CE216D">
      <w:pPr>
        <w:pStyle w:val="PL"/>
        <w:rPr>
          <w:u w:val="single"/>
        </w:rPr>
      </w:pPr>
      <w:r>
        <w:rPr>
          <w:color w:val="FF0000"/>
          <w:u w:val="single"/>
        </w:rPr>
        <w:t>SubsequentCondReconfig</w:t>
      </w:r>
      <w:r w:rsidRPr="006F2DB7">
        <w:rPr>
          <w:color w:val="FF0000"/>
          <w:u w:val="single"/>
        </w:rPr>
        <w:t>-r18 ::=     SEQUENCE {</w:t>
      </w:r>
    </w:p>
    <w:p w14:paraId="6410693B" w14:textId="2E0613CA" w:rsidR="00CE216D" w:rsidRDefault="00CE216D" w:rsidP="00CE216D">
      <w:pPr>
        <w:pStyle w:val="PL"/>
        <w:rPr>
          <w:color w:val="FF0000"/>
          <w:u w:val="single"/>
        </w:rPr>
      </w:pPr>
      <w:r w:rsidRPr="00FF1575">
        <w:rPr>
          <w:color w:val="FF0000"/>
          <w:u w:val="single"/>
        </w:rPr>
        <w:t xml:space="preserve">        </w:t>
      </w:r>
      <w:r>
        <w:rPr>
          <w:color w:val="FF0000"/>
          <w:u w:val="single"/>
        </w:rPr>
        <w:t>condReconfigUpdateAtExecution</w:t>
      </w:r>
      <w:r w:rsidRPr="00FF1575">
        <w:rPr>
          <w:color w:val="FF0000"/>
          <w:u w:val="single"/>
        </w:rPr>
        <w:t xml:space="preserve">List-r18      SEQUENCE (SIZE (1.. maxNrofCondCells-r16)) OF </w:t>
      </w:r>
      <w:r>
        <w:rPr>
          <w:color w:val="FF0000"/>
          <w:u w:val="single"/>
        </w:rPr>
        <w:t>Cond</w:t>
      </w:r>
      <w:r w:rsidR="00977DBE">
        <w:rPr>
          <w:color w:val="FF0000"/>
          <w:u w:val="single"/>
        </w:rPr>
        <w:t>Re</w:t>
      </w:r>
      <w:r>
        <w:rPr>
          <w:color w:val="FF0000"/>
          <w:u w:val="single"/>
        </w:rPr>
        <w:t>ConfigUpdateAtExecution</w:t>
      </w:r>
      <w:r w:rsidRPr="00FF1575">
        <w:rPr>
          <w:color w:val="FF0000"/>
          <w:u w:val="single"/>
        </w:rPr>
        <w:t>-r18</w:t>
      </w:r>
      <w:r w:rsidRPr="00FF1575">
        <w:rPr>
          <w:color w:val="FF0000"/>
          <w:u w:val="single"/>
        </w:rPr>
        <w:tab/>
      </w:r>
      <w:r w:rsidRPr="00FF1575">
        <w:rPr>
          <w:color w:val="FF0000"/>
          <w:u w:val="single"/>
        </w:rPr>
        <w:tab/>
      </w:r>
      <w:r w:rsidRPr="00FF1575">
        <w:rPr>
          <w:color w:val="FF0000"/>
          <w:u w:val="single"/>
        </w:rPr>
        <w:tab/>
        <w:t>OPTIONAL</w:t>
      </w:r>
      <w:r>
        <w:rPr>
          <w:color w:val="FF0000"/>
          <w:u w:val="single"/>
        </w:rPr>
        <w:t>,</w:t>
      </w:r>
      <w:r w:rsidRPr="00FF1575">
        <w:rPr>
          <w:color w:val="FF0000"/>
          <w:u w:val="single"/>
        </w:rPr>
        <w:t xml:space="preserve">     -- Need M</w:t>
      </w:r>
    </w:p>
    <w:p w14:paraId="2B7C6D31" w14:textId="71DBF9E9" w:rsidR="00CE216D" w:rsidRDefault="00CE216D" w:rsidP="00CE216D">
      <w:pPr>
        <w:pStyle w:val="PL"/>
        <w:rPr>
          <w:color w:val="FF0000"/>
          <w:u w:val="single"/>
        </w:rPr>
      </w:pPr>
      <w:r w:rsidRPr="00FF1575">
        <w:rPr>
          <w:color w:val="FF0000"/>
          <w:u w:val="single"/>
        </w:rPr>
        <w:t xml:space="preserve">        </w:t>
      </w:r>
      <w:r>
        <w:rPr>
          <w:color w:val="FF0000"/>
          <w:u w:val="single"/>
        </w:rPr>
        <w:t>...</w:t>
      </w:r>
    </w:p>
    <w:p w14:paraId="64A1F6B7" w14:textId="7DFE9A8F" w:rsidR="00CE216D" w:rsidRPr="006F2DB7" w:rsidRDefault="00CE216D" w:rsidP="00CE216D">
      <w:pPr>
        <w:pStyle w:val="PL"/>
        <w:rPr>
          <w:color w:val="FF0000"/>
          <w:u w:val="single"/>
        </w:rPr>
      </w:pPr>
      <w:r w:rsidRPr="006F2DB7">
        <w:rPr>
          <w:color w:val="FF0000"/>
          <w:u w:val="single"/>
        </w:rPr>
        <w:t>}</w:t>
      </w:r>
    </w:p>
    <w:p w14:paraId="01D4783E" w14:textId="4F15A489" w:rsidR="00CE216D" w:rsidRDefault="00CE216D" w:rsidP="006F2DB7">
      <w:pPr>
        <w:pStyle w:val="PL"/>
      </w:pPr>
    </w:p>
    <w:p w14:paraId="702972FE" w14:textId="77777777" w:rsidR="006F2DB7" w:rsidRPr="00FF1575" w:rsidRDefault="006F2DB7" w:rsidP="006F2DB7">
      <w:pPr>
        <w:pStyle w:val="PL"/>
        <w:rPr>
          <w:color w:val="FF0000"/>
          <w:u w:val="single"/>
        </w:rPr>
      </w:pPr>
    </w:p>
    <w:p w14:paraId="012D728A" w14:textId="27CA3C8F" w:rsidR="006F2DB7" w:rsidRPr="00FF1575" w:rsidRDefault="006F2DB7" w:rsidP="006F2DB7">
      <w:pPr>
        <w:pStyle w:val="PL"/>
        <w:rPr>
          <w:color w:val="FF0000"/>
          <w:u w:val="single"/>
        </w:rPr>
      </w:pPr>
      <w:r>
        <w:rPr>
          <w:color w:val="FF0000"/>
          <w:u w:val="single"/>
        </w:rPr>
        <w:t>Cond</w:t>
      </w:r>
      <w:r w:rsidR="00977DBE">
        <w:rPr>
          <w:color w:val="FF0000"/>
          <w:u w:val="single"/>
        </w:rPr>
        <w:t>Re</w:t>
      </w:r>
      <w:r>
        <w:rPr>
          <w:color w:val="FF0000"/>
          <w:u w:val="single"/>
        </w:rPr>
        <w:t>ConfigUpdateAtExecution</w:t>
      </w:r>
      <w:r w:rsidRPr="00FF1575">
        <w:rPr>
          <w:color w:val="FF0000"/>
          <w:u w:val="single"/>
        </w:rPr>
        <w:t>-r18 ::=     SEQUENCE {</w:t>
      </w:r>
    </w:p>
    <w:p w14:paraId="478FB9C7" w14:textId="77777777" w:rsidR="006F2DB7" w:rsidRPr="00FF1575" w:rsidRDefault="006F2DB7" w:rsidP="006F2DB7">
      <w:pPr>
        <w:pStyle w:val="PL"/>
        <w:rPr>
          <w:color w:val="FF0000"/>
          <w:u w:val="single"/>
        </w:rPr>
      </w:pPr>
      <w:r w:rsidRPr="00FF1575">
        <w:rPr>
          <w:color w:val="FF0000"/>
          <w:u w:val="single"/>
        </w:rPr>
        <w:t xml:space="preserve">    condReconfigId-r18               CondReconfigId-r16,</w:t>
      </w:r>
    </w:p>
    <w:p w14:paraId="6FD6D01F" w14:textId="08282773" w:rsidR="006F2DB7" w:rsidRPr="00FF1575" w:rsidRDefault="006F2DB7" w:rsidP="006F2DB7">
      <w:pPr>
        <w:pStyle w:val="PL"/>
        <w:rPr>
          <w:color w:val="FF0000"/>
          <w:u w:val="single"/>
        </w:rPr>
      </w:pPr>
      <w:r w:rsidRPr="00FF1575">
        <w:rPr>
          <w:color w:val="FF0000"/>
          <w:u w:val="single"/>
        </w:rPr>
        <w:t xml:space="preserve">    action</w:t>
      </w:r>
      <w:r w:rsidR="00CE216D">
        <w:rPr>
          <w:color w:val="FF0000"/>
          <w:u w:val="single"/>
        </w:rPr>
        <w:t>AtExecution</w:t>
      </w:r>
      <w:r w:rsidRPr="00FF1575">
        <w:rPr>
          <w:color w:val="FF0000"/>
          <w:u w:val="single"/>
        </w:rPr>
        <w:t>-r18            ENUMERATED {release, activate, deactivate}       OPTIONAL,</w:t>
      </w:r>
    </w:p>
    <w:p w14:paraId="1EFB2FD9" w14:textId="77777777" w:rsidR="006F2DB7" w:rsidRPr="00FF1575" w:rsidRDefault="006F2DB7" w:rsidP="006F2DB7">
      <w:pPr>
        <w:pStyle w:val="PL"/>
        <w:rPr>
          <w:color w:val="FF0000"/>
          <w:u w:val="single"/>
        </w:rPr>
      </w:pPr>
      <w:r w:rsidRPr="00FF1575">
        <w:rPr>
          <w:color w:val="FF0000"/>
          <w:u w:val="single"/>
        </w:rPr>
        <w:t xml:space="preserve">    condExecutionCond-r18            SEQUENCE (SIZE (1..2)) OF MeasId    OPTIONAL,    -- Need M</w:t>
      </w:r>
    </w:p>
    <w:p w14:paraId="2567519B" w14:textId="76106B06" w:rsidR="006F2DB7" w:rsidRPr="00FF1575" w:rsidRDefault="006F2DB7" w:rsidP="006F2DB7">
      <w:pPr>
        <w:pStyle w:val="PL"/>
        <w:rPr>
          <w:color w:val="FF0000"/>
          <w:u w:val="single"/>
        </w:rPr>
      </w:pPr>
      <w:r w:rsidRPr="00FF1575">
        <w:rPr>
          <w:color w:val="FF0000"/>
          <w:u w:val="single"/>
        </w:rPr>
        <w:t xml:space="preserve">    condExecutionCondSCG-r18         SEQUENCE (SIZE (1..2)) OF MeasId    OPTIONAL    -- Need M</w:t>
      </w:r>
    </w:p>
    <w:p w14:paraId="07B25C83" w14:textId="77777777" w:rsidR="006F2DB7" w:rsidRPr="00FF1575" w:rsidRDefault="006F2DB7" w:rsidP="006F2DB7">
      <w:pPr>
        <w:pStyle w:val="PL"/>
        <w:rPr>
          <w:color w:val="FF0000"/>
          <w:u w:val="single"/>
        </w:rPr>
      </w:pPr>
      <w:r w:rsidRPr="00FF1575">
        <w:rPr>
          <w:color w:val="FF0000"/>
          <w:u w:val="single"/>
        </w:rPr>
        <w:t>}</w:t>
      </w:r>
    </w:p>
    <w:p w14:paraId="6093BFB7" w14:textId="77777777" w:rsidR="006F2DB7" w:rsidRPr="00F43A82" w:rsidRDefault="006F2DB7" w:rsidP="006F2DB7">
      <w:pPr>
        <w:pStyle w:val="PL"/>
      </w:pPr>
    </w:p>
    <w:p w14:paraId="1F2EBD2E" w14:textId="77777777" w:rsidR="006F2DB7" w:rsidRPr="00F43A82" w:rsidRDefault="006F2DB7" w:rsidP="006F2DB7">
      <w:pPr>
        <w:pStyle w:val="PL"/>
        <w:rPr>
          <w:color w:val="808080"/>
        </w:rPr>
      </w:pPr>
      <w:r w:rsidRPr="00F43A82">
        <w:rPr>
          <w:color w:val="808080"/>
        </w:rPr>
        <w:t>-- TAG-CONDRECONFIGTOADDMODLIST-STOP</w:t>
      </w:r>
    </w:p>
    <w:p w14:paraId="5F1C3E30" w14:textId="77777777" w:rsidR="006F2DB7" w:rsidRPr="00F43A82" w:rsidRDefault="006F2DB7" w:rsidP="006F2DB7">
      <w:pPr>
        <w:pStyle w:val="PL"/>
        <w:rPr>
          <w:color w:val="808080"/>
        </w:rPr>
      </w:pPr>
      <w:r w:rsidRPr="00F43A82">
        <w:rPr>
          <w:color w:val="808080"/>
        </w:rPr>
        <w:t>-- ASN1STOP</w:t>
      </w:r>
    </w:p>
    <w:p w14:paraId="7E534BD0" w14:textId="77777777" w:rsidR="00FF1575" w:rsidRPr="00CE0424" w:rsidRDefault="00FF1575" w:rsidP="00FF1575">
      <w:pPr>
        <w:pStyle w:val="Reference"/>
        <w:numPr>
          <w:ilvl w:val="0"/>
          <w:numId w:val="0"/>
        </w:numPr>
        <w:ind w:left="567" w:hanging="567"/>
      </w:pPr>
    </w:p>
    <w:sectPr w:rsidR="00FF1575"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98E9" w14:textId="77777777" w:rsidR="00C3654E" w:rsidRDefault="00C3654E">
      <w:r>
        <w:separator/>
      </w:r>
    </w:p>
  </w:endnote>
  <w:endnote w:type="continuationSeparator" w:id="0">
    <w:p w14:paraId="27049B96" w14:textId="77777777" w:rsidR="00C3654E" w:rsidRDefault="00C3654E">
      <w:r>
        <w:continuationSeparator/>
      </w:r>
    </w:p>
  </w:endnote>
  <w:endnote w:type="continuationNotice" w:id="1">
    <w:p w14:paraId="631209F2" w14:textId="77777777" w:rsidR="00C3654E" w:rsidRDefault="00C36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8628" w14:textId="77777777" w:rsidR="00C3654E" w:rsidRDefault="00C3654E">
      <w:r>
        <w:separator/>
      </w:r>
    </w:p>
  </w:footnote>
  <w:footnote w:type="continuationSeparator" w:id="0">
    <w:p w14:paraId="4624F110" w14:textId="77777777" w:rsidR="00C3654E" w:rsidRDefault="00C3654E">
      <w:r>
        <w:continuationSeparator/>
      </w:r>
    </w:p>
  </w:footnote>
  <w:footnote w:type="continuationNotice" w:id="1">
    <w:p w14:paraId="598804E4" w14:textId="77777777" w:rsidR="00C3654E" w:rsidRDefault="00C365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42BF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C4BF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11489D"/>
    <w:multiLevelType w:val="hybridMultilevel"/>
    <w:tmpl w:val="C7323C2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B21B39"/>
    <w:multiLevelType w:val="hybridMultilevel"/>
    <w:tmpl w:val="0CA6A982"/>
    <w:lvl w:ilvl="0" w:tplc="4BD24A90">
      <w:start w:val="1"/>
      <w:numFmt w:val="bullet"/>
      <w:lvlText w:val="—"/>
      <w:lvlJc w:val="left"/>
      <w:pPr>
        <w:tabs>
          <w:tab w:val="num" w:pos="720"/>
        </w:tabs>
        <w:ind w:left="720" w:hanging="360"/>
      </w:pPr>
      <w:rPr>
        <w:rFonts w:ascii="Ericsson Hilda Light" w:hAnsi="Ericsson Hilda Light" w:hint="default"/>
      </w:rPr>
    </w:lvl>
    <w:lvl w:ilvl="1" w:tplc="D2EA0638">
      <w:start w:val="1"/>
      <w:numFmt w:val="bullet"/>
      <w:lvlText w:val="—"/>
      <w:lvlJc w:val="left"/>
      <w:pPr>
        <w:tabs>
          <w:tab w:val="num" w:pos="1440"/>
        </w:tabs>
        <w:ind w:left="1440" w:hanging="360"/>
      </w:pPr>
      <w:rPr>
        <w:rFonts w:ascii="Ericsson Hilda Light" w:hAnsi="Ericsson Hilda Light" w:hint="default"/>
      </w:rPr>
    </w:lvl>
    <w:lvl w:ilvl="2" w:tplc="0D605CE6" w:tentative="1">
      <w:start w:val="1"/>
      <w:numFmt w:val="bullet"/>
      <w:lvlText w:val="—"/>
      <w:lvlJc w:val="left"/>
      <w:pPr>
        <w:tabs>
          <w:tab w:val="num" w:pos="2160"/>
        </w:tabs>
        <w:ind w:left="2160" w:hanging="360"/>
      </w:pPr>
      <w:rPr>
        <w:rFonts w:ascii="Ericsson Hilda Light" w:hAnsi="Ericsson Hilda Light" w:hint="default"/>
      </w:rPr>
    </w:lvl>
    <w:lvl w:ilvl="3" w:tplc="7C44C2CE" w:tentative="1">
      <w:start w:val="1"/>
      <w:numFmt w:val="bullet"/>
      <w:lvlText w:val="—"/>
      <w:lvlJc w:val="left"/>
      <w:pPr>
        <w:tabs>
          <w:tab w:val="num" w:pos="2880"/>
        </w:tabs>
        <w:ind w:left="2880" w:hanging="360"/>
      </w:pPr>
      <w:rPr>
        <w:rFonts w:ascii="Ericsson Hilda Light" w:hAnsi="Ericsson Hilda Light" w:hint="default"/>
      </w:rPr>
    </w:lvl>
    <w:lvl w:ilvl="4" w:tplc="10A871AE" w:tentative="1">
      <w:start w:val="1"/>
      <w:numFmt w:val="bullet"/>
      <w:lvlText w:val="—"/>
      <w:lvlJc w:val="left"/>
      <w:pPr>
        <w:tabs>
          <w:tab w:val="num" w:pos="3600"/>
        </w:tabs>
        <w:ind w:left="3600" w:hanging="360"/>
      </w:pPr>
      <w:rPr>
        <w:rFonts w:ascii="Ericsson Hilda Light" w:hAnsi="Ericsson Hilda Light" w:hint="default"/>
      </w:rPr>
    </w:lvl>
    <w:lvl w:ilvl="5" w:tplc="9BB4C9EC" w:tentative="1">
      <w:start w:val="1"/>
      <w:numFmt w:val="bullet"/>
      <w:lvlText w:val="—"/>
      <w:lvlJc w:val="left"/>
      <w:pPr>
        <w:tabs>
          <w:tab w:val="num" w:pos="4320"/>
        </w:tabs>
        <w:ind w:left="4320" w:hanging="360"/>
      </w:pPr>
      <w:rPr>
        <w:rFonts w:ascii="Ericsson Hilda Light" w:hAnsi="Ericsson Hilda Light" w:hint="default"/>
      </w:rPr>
    </w:lvl>
    <w:lvl w:ilvl="6" w:tplc="0BF4EF0A" w:tentative="1">
      <w:start w:val="1"/>
      <w:numFmt w:val="bullet"/>
      <w:lvlText w:val="—"/>
      <w:lvlJc w:val="left"/>
      <w:pPr>
        <w:tabs>
          <w:tab w:val="num" w:pos="5040"/>
        </w:tabs>
        <w:ind w:left="5040" w:hanging="360"/>
      </w:pPr>
      <w:rPr>
        <w:rFonts w:ascii="Ericsson Hilda Light" w:hAnsi="Ericsson Hilda Light" w:hint="default"/>
      </w:rPr>
    </w:lvl>
    <w:lvl w:ilvl="7" w:tplc="105AB88E" w:tentative="1">
      <w:start w:val="1"/>
      <w:numFmt w:val="bullet"/>
      <w:lvlText w:val="—"/>
      <w:lvlJc w:val="left"/>
      <w:pPr>
        <w:tabs>
          <w:tab w:val="num" w:pos="5760"/>
        </w:tabs>
        <w:ind w:left="5760" w:hanging="360"/>
      </w:pPr>
      <w:rPr>
        <w:rFonts w:ascii="Ericsson Hilda Light" w:hAnsi="Ericsson Hilda Light" w:hint="default"/>
      </w:rPr>
    </w:lvl>
    <w:lvl w:ilvl="8" w:tplc="B3B83D2A"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43A28"/>
    <w:multiLevelType w:val="hybridMultilevel"/>
    <w:tmpl w:val="AA0C0F2A"/>
    <w:lvl w:ilvl="0" w:tplc="BAA24D2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B4525A"/>
    <w:multiLevelType w:val="hybridMultilevel"/>
    <w:tmpl w:val="1EBEB916"/>
    <w:lvl w:ilvl="0" w:tplc="F4BC63F8">
      <w:start w:val="1"/>
      <w:numFmt w:val="bullet"/>
      <w:lvlText w:val="–"/>
      <w:lvlJc w:val="left"/>
      <w:pPr>
        <w:tabs>
          <w:tab w:val="num" w:pos="720"/>
        </w:tabs>
        <w:ind w:left="720" w:hanging="360"/>
      </w:pPr>
      <w:rPr>
        <w:rFonts w:ascii="Ericsson Hilda" w:hAnsi="Ericsson Hilda" w:hint="default"/>
      </w:rPr>
    </w:lvl>
    <w:lvl w:ilvl="1" w:tplc="9304AB46">
      <w:numFmt w:val="bullet"/>
      <w:lvlText w:val="–"/>
      <w:lvlJc w:val="left"/>
      <w:pPr>
        <w:tabs>
          <w:tab w:val="num" w:pos="1440"/>
        </w:tabs>
        <w:ind w:left="1440" w:hanging="360"/>
      </w:pPr>
      <w:rPr>
        <w:rFonts w:ascii="Ericsson Hilda" w:hAnsi="Ericsson Hilda" w:hint="default"/>
      </w:rPr>
    </w:lvl>
    <w:lvl w:ilvl="2" w:tplc="2264DE9C" w:tentative="1">
      <w:start w:val="1"/>
      <w:numFmt w:val="bullet"/>
      <w:lvlText w:val="–"/>
      <w:lvlJc w:val="left"/>
      <w:pPr>
        <w:tabs>
          <w:tab w:val="num" w:pos="2160"/>
        </w:tabs>
        <w:ind w:left="2160" w:hanging="360"/>
      </w:pPr>
      <w:rPr>
        <w:rFonts w:ascii="Ericsson Hilda" w:hAnsi="Ericsson Hilda" w:hint="default"/>
      </w:rPr>
    </w:lvl>
    <w:lvl w:ilvl="3" w:tplc="A768B7A6" w:tentative="1">
      <w:start w:val="1"/>
      <w:numFmt w:val="bullet"/>
      <w:lvlText w:val="–"/>
      <w:lvlJc w:val="left"/>
      <w:pPr>
        <w:tabs>
          <w:tab w:val="num" w:pos="2880"/>
        </w:tabs>
        <w:ind w:left="2880" w:hanging="360"/>
      </w:pPr>
      <w:rPr>
        <w:rFonts w:ascii="Ericsson Hilda" w:hAnsi="Ericsson Hilda" w:hint="default"/>
      </w:rPr>
    </w:lvl>
    <w:lvl w:ilvl="4" w:tplc="0804D992" w:tentative="1">
      <w:start w:val="1"/>
      <w:numFmt w:val="bullet"/>
      <w:lvlText w:val="–"/>
      <w:lvlJc w:val="left"/>
      <w:pPr>
        <w:tabs>
          <w:tab w:val="num" w:pos="3600"/>
        </w:tabs>
        <w:ind w:left="3600" w:hanging="360"/>
      </w:pPr>
      <w:rPr>
        <w:rFonts w:ascii="Ericsson Hilda" w:hAnsi="Ericsson Hilda" w:hint="default"/>
      </w:rPr>
    </w:lvl>
    <w:lvl w:ilvl="5" w:tplc="58703F22" w:tentative="1">
      <w:start w:val="1"/>
      <w:numFmt w:val="bullet"/>
      <w:lvlText w:val="–"/>
      <w:lvlJc w:val="left"/>
      <w:pPr>
        <w:tabs>
          <w:tab w:val="num" w:pos="4320"/>
        </w:tabs>
        <w:ind w:left="4320" w:hanging="360"/>
      </w:pPr>
      <w:rPr>
        <w:rFonts w:ascii="Ericsson Hilda" w:hAnsi="Ericsson Hilda" w:hint="default"/>
      </w:rPr>
    </w:lvl>
    <w:lvl w:ilvl="6" w:tplc="6080AB3A" w:tentative="1">
      <w:start w:val="1"/>
      <w:numFmt w:val="bullet"/>
      <w:lvlText w:val="–"/>
      <w:lvlJc w:val="left"/>
      <w:pPr>
        <w:tabs>
          <w:tab w:val="num" w:pos="5040"/>
        </w:tabs>
        <w:ind w:left="5040" w:hanging="360"/>
      </w:pPr>
      <w:rPr>
        <w:rFonts w:ascii="Ericsson Hilda" w:hAnsi="Ericsson Hilda" w:hint="default"/>
      </w:rPr>
    </w:lvl>
    <w:lvl w:ilvl="7" w:tplc="7820C9AA" w:tentative="1">
      <w:start w:val="1"/>
      <w:numFmt w:val="bullet"/>
      <w:lvlText w:val="–"/>
      <w:lvlJc w:val="left"/>
      <w:pPr>
        <w:tabs>
          <w:tab w:val="num" w:pos="5760"/>
        </w:tabs>
        <w:ind w:left="5760" w:hanging="360"/>
      </w:pPr>
      <w:rPr>
        <w:rFonts w:ascii="Ericsson Hilda" w:hAnsi="Ericsson Hilda" w:hint="default"/>
      </w:rPr>
    </w:lvl>
    <w:lvl w:ilvl="8" w:tplc="04C8AB04"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A5B3E76"/>
    <w:multiLevelType w:val="hybridMultilevel"/>
    <w:tmpl w:val="0870FFF2"/>
    <w:lvl w:ilvl="0" w:tplc="78BC44C8">
      <w:start w:val="1"/>
      <w:numFmt w:val="bullet"/>
      <w:lvlText w:val="—"/>
      <w:lvlJc w:val="left"/>
      <w:pPr>
        <w:tabs>
          <w:tab w:val="num" w:pos="720"/>
        </w:tabs>
        <w:ind w:left="720" w:hanging="360"/>
      </w:pPr>
      <w:rPr>
        <w:rFonts w:ascii="Ericsson Hilda Light" w:hAnsi="Ericsson Hilda Light" w:hint="default"/>
      </w:rPr>
    </w:lvl>
    <w:lvl w:ilvl="1" w:tplc="2FD8C85A">
      <w:start w:val="1"/>
      <w:numFmt w:val="bullet"/>
      <w:lvlText w:val="—"/>
      <w:lvlJc w:val="left"/>
      <w:pPr>
        <w:tabs>
          <w:tab w:val="num" w:pos="1440"/>
        </w:tabs>
        <w:ind w:left="1440" w:hanging="360"/>
      </w:pPr>
      <w:rPr>
        <w:rFonts w:ascii="Ericsson Hilda Light" w:hAnsi="Ericsson Hilda Light" w:hint="default"/>
      </w:rPr>
    </w:lvl>
    <w:lvl w:ilvl="2" w:tplc="9C5AC742" w:tentative="1">
      <w:start w:val="1"/>
      <w:numFmt w:val="bullet"/>
      <w:lvlText w:val="—"/>
      <w:lvlJc w:val="left"/>
      <w:pPr>
        <w:tabs>
          <w:tab w:val="num" w:pos="2160"/>
        </w:tabs>
        <w:ind w:left="2160" w:hanging="360"/>
      </w:pPr>
      <w:rPr>
        <w:rFonts w:ascii="Ericsson Hilda Light" w:hAnsi="Ericsson Hilda Light" w:hint="default"/>
      </w:rPr>
    </w:lvl>
    <w:lvl w:ilvl="3" w:tplc="DCD8C47A" w:tentative="1">
      <w:start w:val="1"/>
      <w:numFmt w:val="bullet"/>
      <w:lvlText w:val="—"/>
      <w:lvlJc w:val="left"/>
      <w:pPr>
        <w:tabs>
          <w:tab w:val="num" w:pos="2880"/>
        </w:tabs>
        <w:ind w:left="2880" w:hanging="360"/>
      </w:pPr>
      <w:rPr>
        <w:rFonts w:ascii="Ericsson Hilda Light" w:hAnsi="Ericsson Hilda Light" w:hint="default"/>
      </w:rPr>
    </w:lvl>
    <w:lvl w:ilvl="4" w:tplc="21D098A8" w:tentative="1">
      <w:start w:val="1"/>
      <w:numFmt w:val="bullet"/>
      <w:lvlText w:val="—"/>
      <w:lvlJc w:val="left"/>
      <w:pPr>
        <w:tabs>
          <w:tab w:val="num" w:pos="3600"/>
        </w:tabs>
        <w:ind w:left="3600" w:hanging="360"/>
      </w:pPr>
      <w:rPr>
        <w:rFonts w:ascii="Ericsson Hilda Light" w:hAnsi="Ericsson Hilda Light" w:hint="default"/>
      </w:rPr>
    </w:lvl>
    <w:lvl w:ilvl="5" w:tplc="13589782" w:tentative="1">
      <w:start w:val="1"/>
      <w:numFmt w:val="bullet"/>
      <w:lvlText w:val="—"/>
      <w:lvlJc w:val="left"/>
      <w:pPr>
        <w:tabs>
          <w:tab w:val="num" w:pos="4320"/>
        </w:tabs>
        <w:ind w:left="4320" w:hanging="360"/>
      </w:pPr>
      <w:rPr>
        <w:rFonts w:ascii="Ericsson Hilda Light" w:hAnsi="Ericsson Hilda Light" w:hint="default"/>
      </w:rPr>
    </w:lvl>
    <w:lvl w:ilvl="6" w:tplc="EFEEFD80" w:tentative="1">
      <w:start w:val="1"/>
      <w:numFmt w:val="bullet"/>
      <w:lvlText w:val="—"/>
      <w:lvlJc w:val="left"/>
      <w:pPr>
        <w:tabs>
          <w:tab w:val="num" w:pos="5040"/>
        </w:tabs>
        <w:ind w:left="5040" w:hanging="360"/>
      </w:pPr>
      <w:rPr>
        <w:rFonts w:ascii="Ericsson Hilda Light" w:hAnsi="Ericsson Hilda Light" w:hint="default"/>
      </w:rPr>
    </w:lvl>
    <w:lvl w:ilvl="7" w:tplc="AC5CDE42" w:tentative="1">
      <w:start w:val="1"/>
      <w:numFmt w:val="bullet"/>
      <w:lvlText w:val="—"/>
      <w:lvlJc w:val="left"/>
      <w:pPr>
        <w:tabs>
          <w:tab w:val="num" w:pos="5760"/>
        </w:tabs>
        <w:ind w:left="5760" w:hanging="360"/>
      </w:pPr>
      <w:rPr>
        <w:rFonts w:ascii="Ericsson Hilda Light" w:hAnsi="Ericsson Hilda Light" w:hint="default"/>
      </w:rPr>
    </w:lvl>
    <w:lvl w:ilvl="8" w:tplc="236AE2BC"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E950408"/>
    <w:multiLevelType w:val="hybridMultilevel"/>
    <w:tmpl w:val="B322C2F8"/>
    <w:lvl w:ilvl="0" w:tplc="C310B9A0">
      <w:start w:val="1"/>
      <w:numFmt w:val="decimal"/>
      <w:lvlText w:val="%1."/>
      <w:lvlJc w:val="left"/>
      <w:pPr>
        <w:ind w:left="1353" w:hanging="360"/>
      </w:pPr>
      <w:rPr>
        <w:rFonts w:hint="default"/>
      </w:rPr>
    </w:lvl>
    <w:lvl w:ilvl="1" w:tplc="20000019" w:tentative="1">
      <w:start w:val="1"/>
      <w:numFmt w:val="lowerLetter"/>
      <w:lvlText w:val="%2."/>
      <w:lvlJc w:val="left"/>
      <w:pPr>
        <w:ind w:left="814" w:hanging="360"/>
      </w:pPr>
    </w:lvl>
    <w:lvl w:ilvl="2" w:tplc="2000001B" w:tentative="1">
      <w:start w:val="1"/>
      <w:numFmt w:val="lowerRoman"/>
      <w:lvlText w:val="%3."/>
      <w:lvlJc w:val="right"/>
      <w:pPr>
        <w:ind w:left="1534" w:hanging="180"/>
      </w:pPr>
    </w:lvl>
    <w:lvl w:ilvl="3" w:tplc="2000000F" w:tentative="1">
      <w:start w:val="1"/>
      <w:numFmt w:val="decimal"/>
      <w:lvlText w:val="%4."/>
      <w:lvlJc w:val="left"/>
      <w:pPr>
        <w:ind w:left="2254" w:hanging="360"/>
      </w:pPr>
    </w:lvl>
    <w:lvl w:ilvl="4" w:tplc="20000019" w:tentative="1">
      <w:start w:val="1"/>
      <w:numFmt w:val="lowerLetter"/>
      <w:lvlText w:val="%5."/>
      <w:lvlJc w:val="left"/>
      <w:pPr>
        <w:ind w:left="2974" w:hanging="360"/>
      </w:pPr>
    </w:lvl>
    <w:lvl w:ilvl="5" w:tplc="2000001B" w:tentative="1">
      <w:start w:val="1"/>
      <w:numFmt w:val="lowerRoman"/>
      <w:lvlText w:val="%6."/>
      <w:lvlJc w:val="right"/>
      <w:pPr>
        <w:ind w:left="3694" w:hanging="180"/>
      </w:pPr>
    </w:lvl>
    <w:lvl w:ilvl="6" w:tplc="2000000F" w:tentative="1">
      <w:start w:val="1"/>
      <w:numFmt w:val="decimal"/>
      <w:lvlText w:val="%7."/>
      <w:lvlJc w:val="left"/>
      <w:pPr>
        <w:ind w:left="4414" w:hanging="360"/>
      </w:pPr>
    </w:lvl>
    <w:lvl w:ilvl="7" w:tplc="20000019" w:tentative="1">
      <w:start w:val="1"/>
      <w:numFmt w:val="lowerLetter"/>
      <w:lvlText w:val="%8."/>
      <w:lvlJc w:val="left"/>
      <w:pPr>
        <w:ind w:left="5134" w:hanging="360"/>
      </w:pPr>
    </w:lvl>
    <w:lvl w:ilvl="8" w:tplc="2000001B" w:tentative="1">
      <w:start w:val="1"/>
      <w:numFmt w:val="lowerRoman"/>
      <w:lvlText w:val="%9."/>
      <w:lvlJc w:val="right"/>
      <w:pPr>
        <w:ind w:left="5854"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745958"/>
    <w:multiLevelType w:val="hybridMultilevel"/>
    <w:tmpl w:val="8886E470"/>
    <w:lvl w:ilvl="0" w:tplc="DD045CC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B83D11"/>
    <w:multiLevelType w:val="hybridMultilevel"/>
    <w:tmpl w:val="90162A50"/>
    <w:lvl w:ilvl="0" w:tplc="A72A60C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6" w15:restartNumberingAfterBreak="0">
    <w:nsid w:val="2FA62893"/>
    <w:multiLevelType w:val="hybridMultilevel"/>
    <w:tmpl w:val="893416FE"/>
    <w:lvl w:ilvl="0" w:tplc="80FCAD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5A0D75"/>
    <w:multiLevelType w:val="hybridMultilevel"/>
    <w:tmpl w:val="E54AF49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2F6439D"/>
    <w:multiLevelType w:val="hybridMultilevel"/>
    <w:tmpl w:val="3BD6C978"/>
    <w:lvl w:ilvl="0" w:tplc="FFFFFFFF">
      <w:start w:val="1"/>
      <w:numFmt w:val="decimal"/>
      <w:lvlText w:val="(%1)"/>
      <w:lvlJc w:val="left"/>
      <w:pPr>
        <w:ind w:left="720" w:hanging="360"/>
      </w:pPr>
    </w:lvl>
    <w:lvl w:ilvl="1" w:tplc="9C1C8924">
      <w:start w:val="1"/>
      <w:numFmt w:val="lowerLetter"/>
      <w:lvlText w:val="%2."/>
      <w:lvlJc w:val="left"/>
      <w:pPr>
        <w:ind w:left="0" w:firstLine="0"/>
      </w:pPr>
      <w:rPr>
        <w:color w:val="262626"/>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A50E1F"/>
    <w:multiLevelType w:val="hybridMultilevel"/>
    <w:tmpl w:val="1BB43DA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190211"/>
    <w:multiLevelType w:val="hybridMultilevel"/>
    <w:tmpl w:val="D8EE9BF0"/>
    <w:lvl w:ilvl="0" w:tplc="80FCAD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D75DEF"/>
    <w:multiLevelType w:val="hybridMultilevel"/>
    <w:tmpl w:val="C87CCF24"/>
    <w:lvl w:ilvl="0" w:tplc="379A6D0C">
      <w:start w:val="1"/>
      <w:numFmt w:val="bullet"/>
      <w:lvlText w:val="–"/>
      <w:lvlJc w:val="left"/>
      <w:pPr>
        <w:tabs>
          <w:tab w:val="num" w:pos="720"/>
        </w:tabs>
        <w:ind w:left="720" w:hanging="360"/>
      </w:pPr>
      <w:rPr>
        <w:rFonts w:ascii="Ericsson Hilda" w:hAnsi="Ericsson Hilda" w:hint="default"/>
      </w:rPr>
    </w:lvl>
    <w:lvl w:ilvl="1" w:tplc="F250784C">
      <w:start w:val="1"/>
      <w:numFmt w:val="bullet"/>
      <w:lvlText w:val="–"/>
      <w:lvlJc w:val="left"/>
      <w:pPr>
        <w:tabs>
          <w:tab w:val="num" w:pos="1440"/>
        </w:tabs>
        <w:ind w:left="1440" w:hanging="360"/>
      </w:pPr>
      <w:rPr>
        <w:rFonts w:ascii="Ericsson Hilda" w:hAnsi="Ericsson Hilda" w:hint="default"/>
      </w:rPr>
    </w:lvl>
    <w:lvl w:ilvl="2" w:tplc="9EDCD12C">
      <w:numFmt w:val="bullet"/>
      <w:lvlText w:val="–"/>
      <w:lvlJc w:val="left"/>
      <w:pPr>
        <w:tabs>
          <w:tab w:val="num" w:pos="2160"/>
        </w:tabs>
        <w:ind w:left="2160" w:hanging="360"/>
      </w:pPr>
      <w:rPr>
        <w:rFonts w:ascii="Ericsson Hilda" w:hAnsi="Ericsson Hilda" w:hint="default"/>
      </w:rPr>
    </w:lvl>
    <w:lvl w:ilvl="3" w:tplc="FCCCE586">
      <w:numFmt w:val="bullet"/>
      <w:lvlText w:val="–"/>
      <w:lvlJc w:val="left"/>
      <w:pPr>
        <w:tabs>
          <w:tab w:val="num" w:pos="2880"/>
        </w:tabs>
        <w:ind w:left="2880" w:hanging="360"/>
      </w:pPr>
      <w:rPr>
        <w:rFonts w:ascii="Ericsson Hilda" w:hAnsi="Ericsson Hilda" w:hint="default"/>
      </w:rPr>
    </w:lvl>
    <w:lvl w:ilvl="4" w:tplc="DB76FFC8" w:tentative="1">
      <w:start w:val="1"/>
      <w:numFmt w:val="bullet"/>
      <w:lvlText w:val="–"/>
      <w:lvlJc w:val="left"/>
      <w:pPr>
        <w:tabs>
          <w:tab w:val="num" w:pos="3600"/>
        </w:tabs>
        <w:ind w:left="3600" w:hanging="360"/>
      </w:pPr>
      <w:rPr>
        <w:rFonts w:ascii="Ericsson Hilda" w:hAnsi="Ericsson Hilda" w:hint="default"/>
      </w:rPr>
    </w:lvl>
    <w:lvl w:ilvl="5" w:tplc="2E12CE88" w:tentative="1">
      <w:start w:val="1"/>
      <w:numFmt w:val="bullet"/>
      <w:lvlText w:val="–"/>
      <w:lvlJc w:val="left"/>
      <w:pPr>
        <w:tabs>
          <w:tab w:val="num" w:pos="4320"/>
        </w:tabs>
        <w:ind w:left="4320" w:hanging="360"/>
      </w:pPr>
      <w:rPr>
        <w:rFonts w:ascii="Ericsson Hilda" w:hAnsi="Ericsson Hilda" w:hint="default"/>
      </w:rPr>
    </w:lvl>
    <w:lvl w:ilvl="6" w:tplc="C7A6E668" w:tentative="1">
      <w:start w:val="1"/>
      <w:numFmt w:val="bullet"/>
      <w:lvlText w:val="–"/>
      <w:lvlJc w:val="left"/>
      <w:pPr>
        <w:tabs>
          <w:tab w:val="num" w:pos="5040"/>
        </w:tabs>
        <w:ind w:left="5040" w:hanging="360"/>
      </w:pPr>
      <w:rPr>
        <w:rFonts w:ascii="Ericsson Hilda" w:hAnsi="Ericsson Hilda" w:hint="default"/>
      </w:rPr>
    </w:lvl>
    <w:lvl w:ilvl="7" w:tplc="B6DA6CC8" w:tentative="1">
      <w:start w:val="1"/>
      <w:numFmt w:val="bullet"/>
      <w:lvlText w:val="–"/>
      <w:lvlJc w:val="left"/>
      <w:pPr>
        <w:tabs>
          <w:tab w:val="num" w:pos="5760"/>
        </w:tabs>
        <w:ind w:left="5760" w:hanging="360"/>
      </w:pPr>
      <w:rPr>
        <w:rFonts w:ascii="Ericsson Hilda" w:hAnsi="Ericsson Hilda" w:hint="default"/>
      </w:rPr>
    </w:lvl>
    <w:lvl w:ilvl="8" w:tplc="9EF82CFC"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744C79"/>
    <w:multiLevelType w:val="hybridMultilevel"/>
    <w:tmpl w:val="121C324E"/>
    <w:lvl w:ilvl="0" w:tplc="27D6B26C">
      <w:start w:val="1"/>
      <w:numFmt w:val="bullet"/>
      <w:lvlText w:val="–"/>
      <w:lvlJc w:val="left"/>
      <w:pPr>
        <w:tabs>
          <w:tab w:val="num" w:pos="720"/>
        </w:tabs>
        <w:ind w:left="720" w:hanging="360"/>
      </w:pPr>
      <w:rPr>
        <w:rFonts w:ascii="Ericsson Hilda" w:hAnsi="Ericsson Hilda" w:hint="default"/>
      </w:rPr>
    </w:lvl>
    <w:lvl w:ilvl="1" w:tplc="7EB2DF10" w:tentative="1">
      <w:start w:val="1"/>
      <w:numFmt w:val="bullet"/>
      <w:lvlText w:val="–"/>
      <w:lvlJc w:val="left"/>
      <w:pPr>
        <w:tabs>
          <w:tab w:val="num" w:pos="1440"/>
        </w:tabs>
        <w:ind w:left="1440" w:hanging="360"/>
      </w:pPr>
      <w:rPr>
        <w:rFonts w:ascii="Ericsson Hilda" w:hAnsi="Ericsson Hilda" w:hint="default"/>
      </w:rPr>
    </w:lvl>
    <w:lvl w:ilvl="2" w:tplc="0C8CD812">
      <w:start w:val="1"/>
      <w:numFmt w:val="bullet"/>
      <w:lvlText w:val="–"/>
      <w:lvlJc w:val="left"/>
      <w:pPr>
        <w:tabs>
          <w:tab w:val="num" w:pos="2160"/>
        </w:tabs>
        <w:ind w:left="2160" w:hanging="360"/>
      </w:pPr>
      <w:rPr>
        <w:rFonts w:ascii="Ericsson Hilda" w:hAnsi="Ericsson Hilda" w:hint="default"/>
      </w:rPr>
    </w:lvl>
    <w:lvl w:ilvl="3" w:tplc="B95C796A" w:tentative="1">
      <w:start w:val="1"/>
      <w:numFmt w:val="bullet"/>
      <w:lvlText w:val="–"/>
      <w:lvlJc w:val="left"/>
      <w:pPr>
        <w:tabs>
          <w:tab w:val="num" w:pos="2880"/>
        </w:tabs>
        <w:ind w:left="2880" w:hanging="360"/>
      </w:pPr>
      <w:rPr>
        <w:rFonts w:ascii="Ericsson Hilda" w:hAnsi="Ericsson Hilda" w:hint="default"/>
      </w:rPr>
    </w:lvl>
    <w:lvl w:ilvl="4" w:tplc="7040CF36" w:tentative="1">
      <w:start w:val="1"/>
      <w:numFmt w:val="bullet"/>
      <w:lvlText w:val="–"/>
      <w:lvlJc w:val="left"/>
      <w:pPr>
        <w:tabs>
          <w:tab w:val="num" w:pos="3600"/>
        </w:tabs>
        <w:ind w:left="3600" w:hanging="360"/>
      </w:pPr>
      <w:rPr>
        <w:rFonts w:ascii="Ericsson Hilda" w:hAnsi="Ericsson Hilda" w:hint="default"/>
      </w:rPr>
    </w:lvl>
    <w:lvl w:ilvl="5" w:tplc="F2369DD0" w:tentative="1">
      <w:start w:val="1"/>
      <w:numFmt w:val="bullet"/>
      <w:lvlText w:val="–"/>
      <w:lvlJc w:val="left"/>
      <w:pPr>
        <w:tabs>
          <w:tab w:val="num" w:pos="4320"/>
        </w:tabs>
        <w:ind w:left="4320" w:hanging="360"/>
      </w:pPr>
      <w:rPr>
        <w:rFonts w:ascii="Ericsson Hilda" w:hAnsi="Ericsson Hilda" w:hint="default"/>
      </w:rPr>
    </w:lvl>
    <w:lvl w:ilvl="6" w:tplc="9D14984A" w:tentative="1">
      <w:start w:val="1"/>
      <w:numFmt w:val="bullet"/>
      <w:lvlText w:val="–"/>
      <w:lvlJc w:val="left"/>
      <w:pPr>
        <w:tabs>
          <w:tab w:val="num" w:pos="5040"/>
        </w:tabs>
        <w:ind w:left="5040" w:hanging="360"/>
      </w:pPr>
      <w:rPr>
        <w:rFonts w:ascii="Ericsson Hilda" w:hAnsi="Ericsson Hilda" w:hint="default"/>
      </w:rPr>
    </w:lvl>
    <w:lvl w:ilvl="7" w:tplc="E446F204" w:tentative="1">
      <w:start w:val="1"/>
      <w:numFmt w:val="bullet"/>
      <w:lvlText w:val="–"/>
      <w:lvlJc w:val="left"/>
      <w:pPr>
        <w:tabs>
          <w:tab w:val="num" w:pos="5760"/>
        </w:tabs>
        <w:ind w:left="5760" w:hanging="360"/>
      </w:pPr>
      <w:rPr>
        <w:rFonts w:ascii="Ericsson Hilda" w:hAnsi="Ericsson Hilda" w:hint="default"/>
      </w:rPr>
    </w:lvl>
    <w:lvl w:ilvl="8" w:tplc="2CD2D6C8"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C9001E"/>
    <w:multiLevelType w:val="hybridMultilevel"/>
    <w:tmpl w:val="096E1582"/>
    <w:lvl w:ilvl="0" w:tplc="8B5E3ADA">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6144A86"/>
    <w:multiLevelType w:val="hybridMultilevel"/>
    <w:tmpl w:val="698E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A139A4"/>
    <w:multiLevelType w:val="hybridMultilevel"/>
    <w:tmpl w:val="1FB6DA1A"/>
    <w:lvl w:ilvl="0" w:tplc="B0703106">
      <w:start w:val="1"/>
      <w:numFmt w:val="bullet"/>
      <w:lvlText w:val="—"/>
      <w:lvlJc w:val="left"/>
      <w:pPr>
        <w:tabs>
          <w:tab w:val="num" w:pos="720"/>
        </w:tabs>
        <w:ind w:left="720" w:hanging="360"/>
      </w:pPr>
      <w:rPr>
        <w:rFonts w:ascii="Ericsson Hilda Light" w:hAnsi="Ericsson Hilda Light" w:hint="default"/>
      </w:rPr>
    </w:lvl>
    <w:lvl w:ilvl="1" w:tplc="FA7E5BFA">
      <w:numFmt w:val="bullet"/>
      <w:lvlText w:val="—"/>
      <w:lvlJc w:val="left"/>
      <w:pPr>
        <w:tabs>
          <w:tab w:val="num" w:pos="1440"/>
        </w:tabs>
        <w:ind w:left="1440" w:hanging="360"/>
      </w:pPr>
      <w:rPr>
        <w:rFonts w:ascii="Ericsson Hilda Light" w:hAnsi="Ericsson Hilda Light" w:hint="default"/>
      </w:rPr>
    </w:lvl>
    <w:lvl w:ilvl="2" w:tplc="E65E4D10" w:tentative="1">
      <w:start w:val="1"/>
      <w:numFmt w:val="bullet"/>
      <w:lvlText w:val="—"/>
      <w:lvlJc w:val="left"/>
      <w:pPr>
        <w:tabs>
          <w:tab w:val="num" w:pos="2160"/>
        </w:tabs>
        <w:ind w:left="2160" w:hanging="360"/>
      </w:pPr>
      <w:rPr>
        <w:rFonts w:ascii="Ericsson Hilda Light" w:hAnsi="Ericsson Hilda Light" w:hint="default"/>
      </w:rPr>
    </w:lvl>
    <w:lvl w:ilvl="3" w:tplc="F0C680DE" w:tentative="1">
      <w:start w:val="1"/>
      <w:numFmt w:val="bullet"/>
      <w:lvlText w:val="—"/>
      <w:lvlJc w:val="left"/>
      <w:pPr>
        <w:tabs>
          <w:tab w:val="num" w:pos="2880"/>
        </w:tabs>
        <w:ind w:left="2880" w:hanging="360"/>
      </w:pPr>
      <w:rPr>
        <w:rFonts w:ascii="Ericsson Hilda Light" w:hAnsi="Ericsson Hilda Light" w:hint="default"/>
      </w:rPr>
    </w:lvl>
    <w:lvl w:ilvl="4" w:tplc="3D3A6086" w:tentative="1">
      <w:start w:val="1"/>
      <w:numFmt w:val="bullet"/>
      <w:lvlText w:val="—"/>
      <w:lvlJc w:val="left"/>
      <w:pPr>
        <w:tabs>
          <w:tab w:val="num" w:pos="3600"/>
        </w:tabs>
        <w:ind w:left="3600" w:hanging="360"/>
      </w:pPr>
      <w:rPr>
        <w:rFonts w:ascii="Ericsson Hilda Light" w:hAnsi="Ericsson Hilda Light" w:hint="default"/>
      </w:rPr>
    </w:lvl>
    <w:lvl w:ilvl="5" w:tplc="6902CC5A" w:tentative="1">
      <w:start w:val="1"/>
      <w:numFmt w:val="bullet"/>
      <w:lvlText w:val="—"/>
      <w:lvlJc w:val="left"/>
      <w:pPr>
        <w:tabs>
          <w:tab w:val="num" w:pos="4320"/>
        </w:tabs>
        <w:ind w:left="4320" w:hanging="360"/>
      </w:pPr>
      <w:rPr>
        <w:rFonts w:ascii="Ericsson Hilda Light" w:hAnsi="Ericsson Hilda Light" w:hint="default"/>
      </w:rPr>
    </w:lvl>
    <w:lvl w:ilvl="6" w:tplc="40FC7E00" w:tentative="1">
      <w:start w:val="1"/>
      <w:numFmt w:val="bullet"/>
      <w:lvlText w:val="—"/>
      <w:lvlJc w:val="left"/>
      <w:pPr>
        <w:tabs>
          <w:tab w:val="num" w:pos="5040"/>
        </w:tabs>
        <w:ind w:left="5040" w:hanging="360"/>
      </w:pPr>
      <w:rPr>
        <w:rFonts w:ascii="Ericsson Hilda Light" w:hAnsi="Ericsson Hilda Light" w:hint="default"/>
      </w:rPr>
    </w:lvl>
    <w:lvl w:ilvl="7" w:tplc="43440326" w:tentative="1">
      <w:start w:val="1"/>
      <w:numFmt w:val="bullet"/>
      <w:lvlText w:val="—"/>
      <w:lvlJc w:val="left"/>
      <w:pPr>
        <w:tabs>
          <w:tab w:val="num" w:pos="5760"/>
        </w:tabs>
        <w:ind w:left="5760" w:hanging="360"/>
      </w:pPr>
      <w:rPr>
        <w:rFonts w:ascii="Ericsson Hilda Light" w:hAnsi="Ericsson Hilda Light" w:hint="default"/>
      </w:rPr>
    </w:lvl>
    <w:lvl w:ilvl="8" w:tplc="357E9832"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7948042A"/>
    <w:multiLevelType w:val="hybridMultilevel"/>
    <w:tmpl w:val="DBA4E44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75096279">
    <w:abstractNumId w:val="26"/>
  </w:num>
  <w:num w:numId="2" w16cid:durableId="515073769">
    <w:abstractNumId w:val="21"/>
  </w:num>
  <w:num w:numId="3" w16cid:durableId="199708402">
    <w:abstractNumId w:val="2"/>
  </w:num>
  <w:num w:numId="4" w16cid:durableId="491719827">
    <w:abstractNumId w:val="28"/>
  </w:num>
  <w:num w:numId="5" w16cid:durableId="1042903622">
    <w:abstractNumId w:val="29"/>
  </w:num>
  <w:num w:numId="6" w16cid:durableId="1445271288">
    <w:abstractNumId w:val="30"/>
  </w:num>
  <w:num w:numId="7" w16cid:durableId="208612360">
    <w:abstractNumId w:val="11"/>
  </w:num>
  <w:num w:numId="8" w16cid:durableId="562762969">
    <w:abstractNumId w:val="13"/>
  </w:num>
  <w:num w:numId="9" w16cid:durableId="1508709121">
    <w:abstractNumId w:val="6"/>
  </w:num>
  <w:num w:numId="10" w16cid:durableId="1511723119">
    <w:abstractNumId w:val="37"/>
  </w:num>
  <w:num w:numId="11" w16cid:durableId="937372604">
    <w:abstractNumId w:val="19"/>
  </w:num>
  <w:num w:numId="12" w16cid:durableId="1288664389">
    <w:abstractNumId w:val="35"/>
  </w:num>
  <w:num w:numId="13" w16cid:durableId="1148285791">
    <w:abstractNumId w:val="36"/>
  </w:num>
  <w:num w:numId="14" w16cid:durableId="295523629">
    <w:abstractNumId w:val="38"/>
  </w:num>
  <w:num w:numId="15" w16cid:durableId="275674609">
    <w:abstractNumId w:val="33"/>
  </w:num>
  <w:num w:numId="16" w16cid:durableId="401802812">
    <w:abstractNumId w:val="22"/>
  </w:num>
  <w:num w:numId="17" w16cid:durableId="1713384399">
    <w:abstractNumId w:val="4"/>
  </w:num>
  <w:num w:numId="18" w16cid:durableId="256670662">
    <w:abstractNumId w:val="39"/>
  </w:num>
  <w:num w:numId="19" w16cid:durableId="560796611">
    <w:abstractNumId w:val="23"/>
  </w:num>
  <w:num w:numId="20" w16cid:durableId="1775664122">
    <w:abstractNumId w:val="34"/>
  </w:num>
  <w:num w:numId="21" w16cid:durableId="1179733633">
    <w:abstractNumId w:val="32"/>
  </w:num>
  <w:num w:numId="22" w16cid:durableId="1474299516">
    <w:abstractNumId w:val="7"/>
  </w:num>
  <w:num w:numId="23" w16cid:durableId="515847179">
    <w:abstractNumId w:val="8"/>
  </w:num>
  <w:num w:numId="24" w16cid:durableId="1134567667">
    <w:abstractNumId w:val="27"/>
  </w:num>
  <w:num w:numId="25" w16cid:durableId="203445553">
    <w:abstractNumId w:val="3"/>
  </w:num>
  <w:num w:numId="26" w16cid:durableId="1494029866">
    <w:abstractNumId w:val="20"/>
  </w:num>
  <w:num w:numId="27" w16cid:durableId="653919521">
    <w:abstractNumId w:val="40"/>
  </w:num>
  <w:num w:numId="28" w16cid:durableId="1716810772">
    <w:abstractNumId w:val="12"/>
  </w:num>
  <w:num w:numId="29" w16cid:durableId="905608374">
    <w:abstractNumId w:val="9"/>
  </w:num>
  <w:num w:numId="30" w16cid:durableId="1359240262">
    <w:abstractNumId w:val="31"/>
  </w:num>
  <w:num w:numId="31" w16cid:durableId="456141824">
    <w:abstractNumId w:val="5"/>
  </w:num>
  <w:num w:numId="32" w16cid:durableId="711878829">
    <w:abstractNumId w:val="17"/>
  </w:num>
  <w:num w:numId="33" w16cid:durableId="1181092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6281419">
    <w:abstractNumId w:val="15"/>
  </w:num>
  <w:num w:numId="35" w16cid:durableId="631205267">
    <w:abstractNumId w:val="25"/>
  </w:num>
  <w:num w:numId="36" w16cid:durableId="1747649844">
    <w:abstractNumId w:val="14"/>
  </w:num>
  <w:num w:numId="37" w16cid:durableId="363210639">
    <w:abstractNumId w:val="10"/>
  </w:num>
  <w:num w:numId="38" w16cid:durableId="137918124">
    <w:abstractNumId w:val="1"/>
  </w:num>
  <w:num w:numId="39" w16cid:durableId="1421366433">
    <w:abstractNumId w:val="0"/>
  </w:num>
  <w:num w:numId="40" w16cid:durableId="544833088">
    <w:abstractNumId w:val="24"/>
  </w:num>
  <w:num w:numId="41" w16cid:durableId="1267612926">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246D"/>
    <w:rsid w:val="00012BA5"/>
    <w:rsid w:val="00014424"/>
    <w:rsid w:val="00015220"/>
    <w:rsid w:val="00015D15"/>
    <w:rsid w:val="00016CB9"/>
    <w:rsid w:val="00021683"/>
    <w:rsid w:val="00021B17"/>
    <w:rsid w:val="00023AE8"/>
    <w:rsid w:val="00024F0F"/>
    <w:rsid w:val="000251A9"/>
    <w:rsid w:val="0002564D"/>
    <w:rsid w:val="00025ECA"/>
    <w:rsid w:val="0002738F"/>
    <w:rsid w:val="00030436"/>
    <w:rsid w:val="000314CC"/>
    <w:rsid w:val="000314D9"/>
    <w:rsid w:val="000325B8"/>
    <w:rsid w:val="00032AC8"/>
    <w:rsid w:val="00033AA3"/>
    <w:rsid w:val="00034C15"/>
    <w:rsid w:val="00035E1B"/>
    <w:rsid w:val="00036BA1"/>
    <w:rsid w:val="00036FEC"/>
    <w:rsid w:val="00037820"/>
    <w:rsid w:val="000410C7"/>
    <w:rsid w:val="0004135B"/>
    <w:rsid w:val="00041F8D"/>
    <w:rsid w:val="000422E2"/>
    <w:rsid w:val="000428E6"/>
    <w:rsid w:val="00042A69"/>
    <w:rsid w:val="00042F22"/>
    <w:rsid w:val="0004380E"/>
    <w:rsid w:val="000444EF"/>
    <w:rsid w:val="000455AD"/>
    <w:rsid w:val="00047130"/>
    <w:rsid w:val="0004782E"/>
    <w:rsid w:val="000501A7"/>
    <w:rsid w:val="00050F40"/>
    <w:rsid w:val="00051A25"/>
    <w:rsid w:val="000522C2"/>
    <w:rsid w:val="00052A07"/>
    <w:rsid w:val="000531EA"/>
    <w:rsid w:val="000534A7"/>
    <w:rsid w:val="000534E3"/>
    <w:rsid w:val="00054275"/>
    <w:rsid w:val="0005606A"/>
    <w:rsid w:val="0005635F"/>
    <w:rsid w:val="0005678A"/>
    <w:rsid w:val="0005687E"/>
    <w:rsid w:val="0005697C"/>
    <w:rsid w:val="00057037"/>
    <w:rsid w:val="00057117"/>
    <w:rsid w:val="000578ED"/>
    <w:rsid w:val="00060620"/>
    <w:rsid w:val="000606BE"/>
    <w:rsid w:val="000616E7"/>
    <w:rsid w:val="0006487E"/>
    <w:rsid w:val="000650EB"/>
    <w:rsid w:val="000657D9"/>
    <w:rsid w:val="00065E1A"/>
    <w:rsid w:val="00065F64"/>
    <w:rsid w:val="0006622E"/>
    <w:rsid w:val="0006626F"/>
    <w:rsid w:val="00066364"/>
    <w:rsid w:val="00066FF9"/>
    <w:rsid w:val="00070B8A"/>
    <w:rsid w:val="00070EC2"/>
    <w:rsid w:val="000732D8"/>
    <w:rsid w:val="00073E69"/>
    <w:rsid w:val="00073F2E"/>
    <w:rsid w:val="0007630D"/>
    <w:rsid w:val="00077E5F"/>
    <w:rsid w:val="0008036A"/>
    <w:rsid w:val="0008166D"/>
    <w:rsid w:val="000819EA"/>
    <w:rsid w:val="00081AE6"/>
    <w:rsid w:val="0008331B"/>
    <w:rsid w:val="0008356A"/>
    <w:rsid w:val="00084FF1"/>
    <w:rsid w:val="000855EB"/>
    <w:rsid w:val="00085B52"/>
    <w:rsid w:val="000866F2"/>
    <w:rsid w:val="0009009F"/>
    <w:rsid w:val="000905BD"/>
    <w:rsid w:val="00091557"/>
    <w:rsid w:val="00091C7B"/>
    <w:rsid w:val="0009213D"/>
    <w:rsid w:val="000924C1"/>
    <w:rsid w:val="000924F0"/>
    <w:rsid w:val="00093474"/>
    <w:rsid w:val="00094605"/>
    <w:rsid w:val="0009510F"/>
    <w:rsid w:val="00096F78"/>
    <w:rsid w:val="000A00D2"/>
    <w:rsid w:val="000A0A4C"/>
    <w:rsid w:val="000A1AAB"/>
    <w:rsid w:val="000A1B7B"/>
    <w:rsid w:val="000A20EE"/>
    <w:rsid w:val="000A438A"/>
    <w:rsid w:val="000A56F2"/>
    <w:rsid w:val="000A58B8"/>
    <w:rsid w:val="000A66D4"/>
    <w:rsid w:val="000A699D"/>
    <w:rsid w:val="000A754B"/>
    <w:rsid w:val="000A76E5"/>
    <w:rsid w:val="000A7D03"/>
    <w:rsid w:val="000B03C1"/>
    <w:rsid w:val="000B05A2"/>
    <w:rsid w:val="000B0666"/>
    <w:rsid w:val="000B1A92"/>
    <w:rsid w:val="000B2719"/>
    <w:rsid w:val="000B2E36"/>
    <w:rsid w:val="000B3A8F"/>
    <w:rsid w:val="000B3B1B"/>
    <w:rsid w:val="000B4AB9"/>
    <w:rsid w:val="000B4C3B"/>
    <w:rsid w:val="000B5239"/>
    <w:rsid w:val="000B58C3"/>
    <w:rsid w:val="000B61E9"/>
    <w:rsid w:val="000B6E4E"/>
    <w:rsid w:val="000C0B79"/>
    <w:rsid w:val="000C1428"/>
    <w:rsid w:val="000C165A"/>
    <w:rsid w:val="000C1A80"/>
    <w:rsid w:val="000C2E19"/>
    <w:rsid w:val="000C58E6"/>
    <w:rsid w:val="000C71D0"/>
    <w:rsid w:val="000D0C11"/>
    <w:rsid w:val="000D0D07"/>
    <w:rsid w:val="000D1096"/>
    <w:rsid w:val="000D4797"/>
    <w:rsid w:val="000D47F9"/>
    <w:rsid w:val="000D4A69"/>
    <w:rsid w:val="000D5390"/>
    <w:rsid w:val="000D63B2"/>
    <w:rsid w:val="000D7809"/>
    <w:rsid w:val="000D7E0F"/>
    <w:rsid w:val="000E0527"/>
    <w:rsid w:val="000E1E92"/>
    <w:rsid w:val="000E2BC9"/>
    <w:rsid w:val="000E2D4C"/>
    <w:rsid w:val="000E483E"/>
    <w:rsid w:val="000E75B0"/>
    <w:rsid w:val="000F06D6"/>
    <w:rsid w:val="000F0EB1"/>
    <w:rsid w:val="000F1106"/>
    <w:rsid w:val="000F1314"/>
    <w:rsid w:val="000F3BE9"/>
    <w:rsid w:val="000F3F6C"/>
    <w:rsid w:val="000F402E"/>
    <w:rsid w:val="000F4330"/>
    <w:rsid w:val="000F52A0"/>
    <w:rsid w:val="000F5ED3"/>
    <w:rsid w:val="000F6757"/>
    <w:rsid w:val="000F6D3A"/>
    <w:rsid w:val="000F6DF3"/>
    <w:rsid w:val="001005FF"/>
    <w:rsid w:val="00101ED4"/>
    <w:rsid w:val="001028BF"/>
    <w:rsid w:val="001062FB"/>
    <w:rsid w:val="001063E6"/>
    <w:rsid w:val="0010754C"/>
    <w:rsid w:val="00107A1E"/>
    <w:rsid w:val="00110525"/>
    <w:rsid w:val="00110752"/>
    <w:rsid w:val="0011162F"/>
    <w:rsid w:val="001131AC"/>
    <w:rsid w:val="001138D2"/>
    <w:rsid w:val="00113CF4"/>
    <w:rsid w:val="001153EA"/>
    <w:rsid w:val="00115643"/>
    <w:rsid w:val="0011632E"/>
    <w:rsid w:val="00116765"/>
    <w:rsid w:val="001205C1"/>
    <w:rsid w:val="00120607"/>
    <w:rsid w:val="00120955"/>
    <w:rsid w:val="0012147A"/>
    <w:rsid w:val="001219F5"/>
    <w:rsid w:val="00121A20"/>
    <w:rsid w:val="001223AF"/>
    <w:rsid w:val="00122A9B"/>
    <w:rsid w:val="0012377F"/>
    <w:rsid w:val="00124314"/>
    <w:rsid w:val="00125389"/>
    <w:rsid w:val="00126B4A"/>
    <w:rsid w:val="00131904"/>
    <w:rsid w:val="00132B58"/>
    <w:rsid w:val="00132FD0"/>
    <w:rsid w:val="001339FD"/>
    <w:rsid w:val="00133FFD"/>
    <w:rsid w:val="001344C0"/>
    <w:rsid w:val="001345C8"/>
    <w:rsid w:val="001346FA"/>
    <w:rsid w:val="00135252"/>
    <w:rsid w:val="00135FD8"/>
    <w:rsid w:val="00135FF4"/>
    <w:rsid w:val="00136017"/>
    <w:rsid w:val="001370C4"/>
    <w:rsid w:val="00137AB5"/>
    <w:rsid w:val="00137F0B"/>
    <w:rsid w:val="001408D1"/>
    <w:rsid w:val="00141E89"/>
    <w:rsid w:val="001420D0"/>
    <w:rsid w:val="001431AA"/>
    <w:rsid w:val="001448E8"/>
    <w:rsid w:val="001476B2"/>
    <w:rsid w:val="00150866"/>
    <w:rsid w:val="00150A53"/>
    <w:rsid w:val="00151E23"/>
    <w:rsid w:val="001526E0"/>
    <w:rsid w:val="0015279E"/>
    <w:rsid w:val="00152966"/>
    <w:rsid w:val="00152ABF"/>
    <w:rsid w:val="00154097"/>
    <w:rsid w:val="001551B5"/>
    <w:rsid w:val="001562F0"/>
    <w:rsid w:val="00160FCC"/>
    <w:rsid w:val="00162F46"/>
    <w:rsid w:val="00163708"/>
    <w:rsid w:val="001659C1"/>
    <w:rsid w:val="001678D3"/>
    <w:rsid w:val="00170403"/>
    <w:rsid w:val="00170B9B"/>
    <w:rsid w:val="001710EA"/>
    <w:rsid w:val="00173A8E"/>
    <w:rsid w:val="0017502C"/>
    <w:rsid w:val="00175425"/>
    <w:rsid w:val="001779DB"/>
    <w:rsid w:val="0018143F"/>
    <w:rsid w:val="00181FF8"/>
    <w:rsid w:val="00183716"/>
    <w:rsid w:val="00183D98"/>
    <w:rsid w:val="0018506D"/>
    <w:rsid w:val="001850DC"/>
    <w:rsid w:val="001859DE"/>
    <w:rsid w:val="001879BC"/>
    <w:rsid w:val="00187AAB"/>
    <w:rsid w:val="001903D1"/>
    <w:rsid w:val="00190AC1"/>
    <w:rsid w:val="00190FDE"/>
    <w:rsid w:val="001910C1"/>
    <w:rsid w:val="00191995"/>
    <w:rsid w:val="00192196"/>
    <w:rsid w:val="00192877"/>
    <w:rsid w:val="0019341A"/>
    <w:rsid w:val="00193B2B"/>
    <w:rsid w:val="001962D5"/>
    <w:rsid w:val="00197DF9"/>
    <w:rsid w:val="001A0147"/>
    <w:rsid w:val="001A0280"/>
    <w:rsid w:val="001A0CB9"/>
    <w:rsid w:val="001A152B"/>
    <w:rsid w:val="001A1987"/>
    <w:rsid w:val="001A1BA8"/>
    <w:rsid w:val="001A2564"/>
    <w:rsid w:val="001A4729"/>
    <w:rsid w:val="001A4AD4"/>
    <w:rsid w:val="001A4C56"/>
    <w:rsid w:val="001A527B"/>
    <w:rsid w:val="001A5AB6"/>
    <w:rsid w:val="001A5BB5"/>
    <w:rsid w:val="001A6173"/>
    <w:rsid w:val="001A6364"/>
    <w:rsid w:val="001A6CBA"/>
    <w:rsid w:val="001A715B"/>
    <w:rsid w:val="001A71D5"/>
    <w:rsid w:val="001B00E0"/>
    <w:rsid w:val="001B08E7"/>
    <w:rsid w:val="001B0D97"/>
    <w:rsid w:val="001B0E67"/>
    <w:rsid w:val="001B290A"/>
    <w:rsid w:val="001B2D60"/>
    <w:rsid w:val="001B370C"/>
    <w:rsid w:val="001B5887"/>
    <w:rsid w:val="001B5A5D"/>
    <w:rsid w:val="001B605E"/>
    <w:rsid w:val="001B622F"/>
    <w:rsid w:val="001B7D13"/>
    <w:rsid w:val="001C1CE5"/>
    <w:rsid w:val="001C207C"/>
    <w:rsid w:val="001C2BDF"/>
    <w:rsid w:val="001C3D2A"/>
    <w:rsid w:val="001C4AC4"/>
    <w:rsid w:val="001C6FF4"/>
    <w:rsid w:val="001D080C"/>
    <w:rsid w:val="001D1874"/>
    <w:rsid w:val="001D4AC3"/>
    <w:rsid w:val="001D51BA"/>
    <w:rsid w:val="001D53E7"/>
    <w:rsid w:val="001D6342"/>
    <w:rsid w:val="001D6D53"/>
    <w:rsid w:val="001D7FD0"/>
    <w:rsid w:val="001E47D8"/>
    <w:rsid w:val="001E4C42"/>
    <w:rsid w:val="001E52A9"/>
    <w:rsid w:val="001E54F1"/>
    <w:rsid w:val="001E58E2"/>
    <w:rsid w:val="001E7021"/>
    <w:rsid w:val="001E77FF"/>
    <w:rsid w:val="001E7AED"/>
    <w:rsid w:val="001F0912"/>
    <w:rsid w:val="001F0C72"/>
    <w:rsid w:val="001F3916"/>
    <w:rsid w:val="001F49D9"/>
    <w:rsid w:val="001F54C5"/>
    <w:rsid w:val="001F662C"/>
    <w:rsid w:val="001F7074"/>
    <w:rsid w:val="001F786D"/>
    <w:rsid w:val="00200490"/>
    <w:rsid w:val="00200BBF"/>
    <w:rsid w:val="00201EF2"/>
    <w:rsid w:val="00201F3A"/>
    <w:rsid w:val="0020277E"/>
    <w:rsid w:val="002031DD"/>
    <w:rsid w:val="00203F96"/>
    <w:rsid w:val="00204101"/>
    <w:rsid w:val="00205BCD"/>
    <w:rsid w:val="002069B2"/>
    <w:rsid w:val="00206C9B"/>
    <w:rsid w:val="00206FC1"/>
    <w:rsid w:val="00207619"/>
    <w:rsid w:val="00207FA3"/>
    <w:rsid w:val="002119E3"/>
    <w:rsid w:val="00212A60"/>
    <w:rsid w:val="00213563"/>
    <w:rsid w:val="002139AC"/>
    <w:rsid w:val="0021406B"/>
    <w:rsid w:val="002144EA"/>
    <w:rsid w:val="002147FD"/>
    <w:rsid w:val="00214DA8"/>
    <w:rsid w:val="00215151"/>
    <w:rsid w:val="00215423"/>
    <w:rsid w:val="002158FA"/>
    <w:rsid w:val="00215D78"/>
    <w:rsid w:val="00216326"/>
    <w:rsid w:val="00220600"/>
    <w:rsid w:val="002224DB"/>
    <w:rsid w:val="00222B79"/>
    <w:rsid w:val="0022387B"/>
    <w:rsid w:val="00223FCB"/>
    <w:rsid w:val="00224CEE"/>
    <w:rsid w:val="002252C3"/>
    <w:rsid w:val="00225C54"/>
    <w:rsid w:val="00225E90"/>
    <w:rsid w:val="00227BC8"/>
    <w:rsid w:val="00230765"/>
    <w:rsid w:val="00230D18"/>
    <w:rsid w:val="002317A9"/>
    <w:rsid w:val="002319E4"/>
    <w:rsid w:val="002320FF"/>
    <w:rsid w:val="002321BF"/>
    <w:rsid w:val="00235632"/>
    <w:rsid w:val="00235872"/>
    <w:rsid w:val="00235969"/>
    <w:rsid w:val="00240C61"/>
    <w:rsid w:val="00241559"/>
    <w:rsid w:val="0024192B"/>
    <w:rsid w:val="00241D06"/>
    <w:rsid w:val="00242028"/>
    <w:rsid w:val="002435B3"/>
    <w:rsid w:val="002458EB"/>
    <w:rsid w:val="00246C38"/>
    <w:rsid w:val="00246F80"/>
    <w:rsid w:val="00247850"/>
    <w:rsid w:val="002500C8"/>
    <w:rsid w:val="002503F7"/>
    <w:rsid w:val="002508D2"/>
    <w:rsid w:val="00251431"/>
    <w:rsid w:val="00252174"/>
    <w:rsid w:val="00252D68"/>
    <w:rsid w:val="00253094"/>
    <w:rsid w:val="002539FC"/>
    <w:rsid w:val="00254391"/>
    <w:rsid w:val="00254D65"/>
    <w:rsid w:val="002556FA"/>
    <w:rsid w:val="00256A06"/>
    <w:rsid w:val="00256F05"/>
    <w:rsid w:val="00257543"/>
    <w:rsid w:val="0025798B"/>
    <w:rsid w:val="002617E7"/>
    <w:rsid w:val="00261C7F"/>
    <w:rsid w:val="002629D5"/>
    <w:rsid w:val="0026327E"/>
    <w:rsid w:val="00263E97"/>
    <w:rsid w:val="00264228"/>
    <w:rsid w:val="00264334"/>
    <w:rsid w:val="0026473E"/>
    <w:rsid w:val="00265188"/>
    <w:rsid w:val="002651E3"/>
    <w:rsid w:val="00265CD1"/>
    <w:rsid w:val="00266214"/>
    <w:rsid w:val="002667D1"/>
    <w:rsid w:val="0026680D"/>
    <w:rsid w:val="00266909"/>
    <w:rsid w:val="00267C83"/>
    <w:rsid w:val="00270538"/>
    <w:rsid w:val="00270754"/>
    <w:rsid w:val="0027111F"/>
    <w:rsid w:val="0027144F"/>
    <w:rsid w:val="00271478"/>
    <w:rsid w:val="0027161D"/>
    <w:rsid w:val="00271813"/>
    <w:rsid w:val="00271C1B"/>
    <w:rsid w:val="00271F3A"/>
    <w:rsid w:val="002722CB"/>
    <w:rsid w:val="00273278"/>
    <w:rsid w:val="002737F4"/>
    <w:rsid w:val="0027403C"/>
    <w:rsid w:val="002749EE"/>
    <w:rsid w:val="002805F5"/>
    <w:rsid w:val="00280751"/>
    <w:rsid w:val="00280917"/>
    <w:rsid w:val="002818CA"/>
    <w:rsid w:val="00282415"/>
    <w:rsid w:val="0028280A"/>
    <w:rsid w:val="00282ED7"/>
    <w:rsid w:val="00283FE8"/>
    <w:rsid w:val="0028502A"/>
    <w:rsid w:val="002857ED"/>
    <w:rsid w:val="0028611F"/>
    <w:rsid w:val="00286610"/>
    <w:rsid w:val="0028675F"/>
    <w:rsid w:val="00286ACD"/>
    <w:rsid w:val="00287838"/>
    <w:rsid w:val="00287BA2"/>
    <w:rsid w:val="002907B5"/>
    <w:rsid w:val="002925BA"/>
    <w:rsid w:val="00292EB7"/>
    <w:rsid w:val="0029433E"/>
    <w:rsid w:val="00296227"/>
    <w:rsid w:val="002967C5"/>
    <w:rsid w:val="00296F44"/>
    <w:rsid w:val="00297581"/>
    <w:rsid w:val="0029777D"/>
    <w:rsid w:val="002978A5"/>
    <w:rsid w:val="002A02B1"/>
    <w:rsid w:val="002A04C9"/>
    <w:rsid w:val="002A055E"/>
    <w:rsid w:val="002A1D4E"/>
    <w:rsid w:val="002A2869"/>
    <w:rsid w:val="002A4A53"/>
    <w:rsid w:val="002A5354"/>
    <w:rsid w:val="002A5F6C"/>
    <w:rsid w:val="002B03B6"/>
    <w:rsid w:val="002B0A21"/>
    <w:rsid w:val="002B0F98"/>
    <w:rsid w:val="002B19CD"/>
    <w:rsid w:val="002B2221"/>
    <w:rsid w:val="002B24D6"/>
    <w:rsid w:val="002B41A1"/>
    <w:rsid w:val="002B4FE6"/>
    <w:rsid w:val="002C0C34"/>
    <w:rsid w:val="002C23F4"/>
    <w:rsid w:val="002C3E6C"/>
    <w:rsid w:val="002C41E6"/>
    <w:rsid w:val="002C45C7"/>
    <w:rsid w:val="002C5D1E"/>
    <w:rsid w:val="002C7718"/>
    <w:rsid w:val="002D071A"/>
    <w:rsid w:val="002D0C4F"/>
    <w:rsid w:val="002D1B04"/>
    <w:rsid w:val="002D3188"/>
    <w:rsid w:val="002D34B2"/>
    <w:rsid w:val="002D4893"/>
    <w:rsid w:val="002D48B0"/>
    <w:rsid w:val="002D526B"/>
    <w:rsid w:val="002D537A"/>
    <w:rsid w:val="002D5B37"/>
    <w:rsid w:val="002D6328"/>
    <w:rsid w:val="002D6B04"/>
    <w:rsid w:val="002D6DD1"/>
    <w:rsid w:val="002D6FB9"/>
    <w:rsid w:val="002D7637"/>
    <w:rsid w:val="002E17F2"/>
    <w:rsid w:val="002E2B8F"/>
    <w:rsid w:val="002E2DB7"/>
    <w:rsid w:val="002E67BB"/>
    <w:rsid w:val="002E7133"/>
    <w:rsid w:val="002E7CAE"/>
    <w:rsid w:val="002F076B"/>
    <w:rsid w:val="002F1A6F"/>
    <w:rsid w:val="002F2242"/>
    <w:rsid w:val="002F2771"/>
    <w:rsid w:val="002F37A9"/>
    <w:rsid w:val="002F4B7C"/>
    <w:rsid w:val="002F4F7B"/>
    <w:rsid w:val="002F5521"/>
    <w:rsid w:val="002F5CC0"/>
    <w:rsid w:val="002F7FE7"/>
    <w:rsid w:val="00300D1B"/>
    <w:rsid w:val="003012CF"/>
    <w:rsid w:val="00301CE6"/>
    <w:rsid w:val="0030256B"/>
    <w:rsid w:val="00304004"/>
    <w:rsid w:val="003042D3"/>
    <w:rsid w:val="0030501F"/>
    <w:rsid w:val="00305E18"/>
    <w:rsid w:val="00307428"/>
    <w:rsid w:val="00307BA1"/>
    <w:rsid w:val="003112EC"/>
    <w:rsid w:val="00311702"/>
    <w:rsid w:val="00311954"/>
    <w:rsid w:val="00311E82"/>
    <w:rsid w:val="00311FBC"/>
    <w:rsid w:val="00313FD6"/>
    <w:rsid w:val="003143BD"/>
    <w:rsid w:val="003148BF"/>
    <w:rsid w:val="00314F76"/>
    <w:rsid w:val="00315363"/>
    <w:rsid w:val="003203ED"/>
    <w:rsid w:val="0032042A"/>
    <w:rsid w:val="00320B75"/>
    <w:rsid w:val="003221C0"/>
    <w:rsid w:val="00322C9F"/>
    <w:rsid w:val="003239E4"/>
    <w:rsid w:val="00324D23"/>
    <w:rsid w:val="00326EFE"/>
    <w:rsid w:val="00327665"/>
    <w:rsid w:val="00331394"/>
    <w:rsid w:val="00331751"/>
    <w:rsid w:val="00332447"/>
    <w:rsid w:val="00332513"/>
    <w:rsid w:val="00334579"/>
    <w:rsid w:val="00335858"/>
    <w:rsid w:val="00336BDA"/>
    <w:rsid w:val="003379BB"/>
    <w:rsid w:val="00340588"/>
    <w:rsid w:val="00340970"/>
    <w:rsid w:val="00342BD7"/>
    <w:rsid w:val="00342C23"/>
    <w:rsid w:val="00343AD0"/>
    <w:rsid w:val="003452BA"/>
    <w:rsid w:val="00346DB5"/>
    <w:rsid w:val="00346DFB"/>
    <w:rsid w:val="003477B1"/>
    <w:rsid w:val="003477BE"/>
    <w:rsid w:val="003503B7"/>
    <w:rsid w:val="00350C3E"/>
    <w:rsid w:val="00352F7D"/>
    <w:rsid w:val="00353872"/>
    <w:rsid w:val="00355E3B"/>
    <w:rsid w:val="0035635A"/>
    <w:rsid w:val="003563DE"/>
    <w:rsid w:val="003567FC"/>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A4"/>
    <w:rsid w:val="003742AC"/>
    <w:rsid w:val="00374562"/>
    <w:rsid w:val="00376066"/>
    <w:rsid w:val="00376B02"/>
    <w:rsid w:val="003774AD"/>
    <w:rsid w:val="003776F1"/>
    <w:rsid w:val="00377CE1"/>
    <w:rsid w:val="003803EB"/>
    <w:rsid w:val="00380D23"/>
    <w:rsid w:val="0038171B"/>
    <w:rsid w:val="00382623"/>
    <w:rsid w:val="0038270A"/>
    <w:rsid w:val="00382F20"/>
    <w:rsid w:val="003841CF"/>
    <w:rsid w:val="00384D59"/>
    <w:rsid w:val="00385BF0"/>
    <w:rsid w:val="003866D0"/>
    <w:rsid w:val="00386BA4"/>
    <w:rsid w:val="00386BD4"/>
    <w:rsid w:val="00386EF9"/>
    <w:rsid w:val="0039072D"/>
    <w:rsid w:val="003912F6"/>
    <w:rsid w:val="00392BBE"/>
    <w:rsid w:val="0039323D"/>
    <w:rsid w:val="00393497"/>
    <w:rsid w:val="003939FF"/>
    <w:rsid w:val="00394774"/>
    <w:rsid w:val="00395CF4"/>
    <w:rsid w:val="00396391"/>
    <w:rsid w:val="00397D9A"/>
    <w:rsid w:val="003A0775"/>
    <w:rsid w:val="003A0C63"/>
    <w:rsid w:val="003A12AA"/>
    <w:rsid w:val="003A2223"/>
    <w:rsid w:val="003A2A0F"/>
    <w:rsid w:val="003A2C67"/>
    <w:rsid w:val="003A34E2"/>
    <w:rsid w:val="003A41A5"/>
    <w:rsid w:val="003A45A1"/>
    <w:rsid w:val="003A54A5"/>
    <w:rsid w:val="003A5B0A"/>
    <w:rsid w:val="003A6B47"/>
    <w:rsid w:val="003A6BAC"/>
    <w:rsid w:val="003A70A4"/>
    <w:rsid w:val="003A725A"/>
    <w:rsid w:val="003A7EF3"/>
    <w:rsid w:val="003B14F1"/>
    <w:rsid w:val="003B159C"/>
    <w:rsid w:val="003B1CB6"/>
    <w:rsid w:val="003B2FA9"/>
    <w:rsid w:val="003B3077"/>
    <w:rsid w:val="003B3414"/>
    <w:rsid w:val="003B369F"/>
    <w:rsid w:val="003B36A3"/>
    <w:rsid w:val="003B55DE"/>
    <w:rsid w:val="003B5A36"/>
    <w:rsid w:val="003B64BB"/>
    <w:rsid w:val="003B678B"/>
    <w:rsid w:val="003B6F9E"/>
    <w:rsid w:val="003B7237"/>
    <w:rsid w:val="003B7FE5"/>
    <w:rsid w:val="003C02FD"/>
    <w:rsid w:val="003C070E"/>
    <w:rsid w:val="003C117F"/>
    <w:rsid w:val="003C11C8"/>
    <w:rsid w:val="003C2702"/>
    <w:rsid w:val="003C32D7"/>
    <w:rsid w:val="003C4BCF"/>
    <w:rsid w:val="003C4C33"/>
    <w:rsid w:val="003C579C"/>
    <w:rsid w:val="003C7806"/>
    <w:rsid w:val="003C7C74"/>
    <w:rsid w:val="003D109F"/>
    <w:rsid w:val="003D1417"/>
    <w:rsid w:val="003D2478"/>
    <w:rsid w:val="003D30F7"/>
    <w:rsid w:val="003D33ED"/>
    <w:rsid w:val="003D3C45"/>
    <w:rsid w:val="003D486D"/>
    <w:rsid w:val="003D5B1F"/>
    <w:rsid w:val="003D5FD3"/>
    <w:rsid w:val="003D6884"/>
    <w:rsid w:val="003E15FA"/>
    <w:rsid w:val="003E1D83"/>
    <w:rsid w:val="003E1F7D"/>
    <w:rsid w:val="003E3B01"/>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E50"/>
    <w:rsid w:val="00401A96"/>
    <w:rsid w:val="00402E2B"/>
    <w:rsid w:val="00403246"/>
    <w:rsid w:val="0040406F"/>
    <w:rsid w:val="0040512B"/>
    <w:rsid w:val="00405CA5"/>
    <w:rsid w:val="00406596"/>
    <w:rsid w:val="004075EA"/>
    <w:rsid w:val="00407CD3"/>
    <w:rsid w:val="00410134"/>
    <w:rsid w:val="00410B72"/>
    <w:rsid w:val="00410ECF"/>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2B2"/>
    <w:rsid w:val="00423A33"/>
    <w:rsid w:val="004242F4"/>
    <w:rsid w:val="0042488C"/>
    <w:rsid w:val="00425493"/>
    <w:rsid w:val="0042595C"/>
    <w:rsid w:val="00427248"/>
    <w:rsid w:val="00427E30"/>
    <w:rsid w:val="004301D4"/>
    <w:rsid w:val="004333CB"/>
    <w:rsid w:val="00433B75"/>
    <w:rsid w:val="00433C3F"/>
    <w:rsid w:val="004342C1"/>
    <w:rsid w:val="00434942"/>
    <w:rsid w:val="00437447"/>
    <w:rsid w:val="00437C7F"/>
    <w:rsid w:val="00437D7A"/>
    <w:rsid w:val="00440E81"/>
    <w:rsid w:val="00441A92"/>
    <w:rsid w:val="00441C42"/>
    <w:rsid w:val="004431DC"/>
    <w:rsid w:val="004432F5"/>
    <w:rsid w:val="00444F56"/>
    <w:rsid w:val="00445E19"/>
    <w:rsid w:val="00446488"/>
    <w:rsid w:val="004467B3"/>
    <w:rsid w:val="00447C9F"/>
    <w:rsid w:val="00450035"/>
    <w:rsid w:val="004500DF"/>
    <w:rsid w:val="004508F8"/>
    <w:rsid w:val="0045106C"/>
    <w:rsid w:val="004511D7"/>
    <w:rsid w:val="0045157A"/>
    <w:rsid w:val="004517AA"/>
    <w:rsid w:val="004517FF"/>
    <w:rsid w:val="00452CAC"/>
    <w:rsid w:val="0045360A"/>
    <w:rsid w:val="00454625"/>
    <w:rsid w:val="00454C7C"/>
    <w:rsid w:val="00455E5B"/>
    <w:rsid w:val="00456509"/>
    <w:rsid w:val="00457565"/>
    <w:rsid w:val="00457B71"/>
    <w:rsid w:val="0046177E"/>
    <w:rsid w:val="004636F9"/>
    <w:rsid w:val="00464AA6"/>
    <w:rsid w:val="00464D29"/>
    <w:rsid w:val="004651EC"/>
    <w:rsid w:val="0046571A"/>
    <w:rsid w:val="00465C60"/>
    <w:rsid w:val="0046691B"/>
    <w:rsid w:val="004669E2"/>
    <w:rsid w:val="00467741"/>
    <w:rsid w:val="004678B3"/>
    <w:rsid w:val="00467D96"/>
    <w:rsid w:val="00470C31"/>
    <w:rsid w:val="00471BE8"/>
    <w:rsid w:val="00471DDD"/>
    <w:rsid w:val="00471DE0"/>
    <w:rsid w:val="00471F58"/>
    <w:rsid w:val="00472EF8"/>
    <w:rsid w:val="004734D0"/>
    <w:rsid w:val="00473A67"/>
    <w:rsid w:val="0047556B"/>
    <w:rsid w:val="00475F9A"/>
    <w:rsid w:val="00476AAB"/>
    <w:rsid w:val="00476E45"/>
    <w:rsid w:val="00477768"/>
    <w:rsid w:val="004830AC"/>
    <w:rsid w:val="0048351B"/>
    <w:rsid w:val="00485058"/>
    <w:rsid w:val="004871EA"/>
    <w:rsid w:val="00490F35"/>
    <w:rsid w:val="004914B5"/>
    <w:rsid w:val="00492BC5"/>
    <w:rsid w:val="00492EBD"/>
    <w:rsid w:val="004933AF"/>
    <w:rsid w:val="00493EA5"/>
    <w:rsid w:val="004952B1"/>
    <w:rsid w:val="0049585B"/>
    <w:rsid w:val="004964F1"/>
    <w:rsid w:val="00497B03"/>
    <w:rsid w:val="004A1390"/>
    <w:rsid w:val="004A16BC"/>
    <w:rsid w:val="004A23F9"/>
    <w:rsid w:val="004A2B94"/>
    <w:rsid w:val="004A2D00"/>
    <w:rsid w:val="004A3ADA"/>
    <w:rsid w:val="004A5400"/>
    <w:rsid w:val="004A648C"/>
    <w:rsid w:val="004B044E"/>
    <w:rsid w:val="004B335E"/>
    <w:rsid w:val="004B3C54"/>
    <w:rsid w:val="004B4429"/>
    <w:rsid w:val="004B4A45"/>
    <w:rsid w:val="004B5031"/>
    <w:rsid w:val="004B6F6A"/>
    <w:rsid w:val="004B7C0C"/>
    <w:rsid w:val="004B7CE5"/>
    <w:rsid w:val="004C0C10"/>
    <w:rsid w:val="004C0F67"/>
    <w:rsid w:val="004C10AF"/>
    <w:rsid w:val="004C3898"/>
    <w:rsid w:val="004C3C97"/>
    <w:rsid w:val="004C570D"/>
    <w:rsid w:val="004C7930"/>
    <w:rsid w:val="004D0054"/>
    <w:rsid w:val="004D1041"/>
    <w:rsid w:val="004D18AC"/>
    <w:rsid w:val="004D36B1"/>
    <w:rsid w:val="004D7669"/>
    <w:rsid w:val="004D7EBD"/>
    <w:rsid w:val="004E16BB"/>
    <w:rsid w:val="004E2680"/>
    <w:rsid w:val="004E28F9"/>
    <w:rsid w:val="004E322D"/>
    <w:rsid w:val="004E462E"/>
    <w:rsid w:val="004E4F4D"/>
    <w:rsid w:val="004E5008"/>
    <w:rsid w:val="004E56DC"/>
    <w:rsid w:val="004E65FE"/>
    <w:rsid w:val="004E76F4"/>
    <w:rsid w:val="004F0B4E"/>
    <w:rsid w:val="004F0B6C"/>
    <w:rsid w:val="004F198E"/>
    <w:rsid w:val="004F1A3F"/>
    <w:rsid w:val="004F2078"/>
    <w:rsid w:val="004F2110"/>
    <w:rsid w:val="004F4A2A"/>
    <w:rsid w:val="004F4BF6"/>
    <w:rsid w:val="004F4DA3"/>
    <w:rsid w:val="004F4E4E"/>
    <w:rsid w:val="004F4FE8"/>
    <w:rsid w:val="00501B24"/>
    <w:rsid w:val="00501C57"/>
    <w:rsid w:val="005032ED"/>
    <w:rsid w:val="00504E39"/>
    <w:rsid w:val="00505DAA"/>
    <w:rsid w:val="00505DD9"/>
    <w:rsid w:val="0050632D"/>
    <w:rsid w:val="00506557"/>
    <w:rsid w:val="0050677A"/>
    <w:rsid w:val="00506AAD"/>
    <w:rsid w:val="005108D8"/>
    <w:rsid w:val="005116F9"/>
    <w:rsid w:val="00511918"/>
    <w:rsid w:val="005121D9"/>
    <w:rsid w:val="00512545"/>
    <w:rsid w:val="005137D3"/>
    <w:rsid w:val="00513882"/>
    <w:rsid w:val="00513B34"/>
    <w:rsid w:val="005150CE"/>
    <w:rsid w:val="005153A7"/>
    <w:rsid w:val="00516760"/>
    <w:rsid w:val="00517E03"/>
    <w:rsid w:val="0052116E"/>
    <w:rsid w:val="0052164F"/>
    <w:rsid w:val="005219CF"/>
    <w:rsid w:val="00522592"/>
    <w:rsid w:val="00523578"/>
    <w:rsid w:val="005239C7"/>
    <w:rsid w:val="00526E99"/>
    <w:rsid w:val="00526ECA"/>
    <w:rsid w:val="00527742"/>
    <w:rsid w:val="00530895"/>
    <w:rsid w:val="00534A4A"/>
    <w:rsid w:val="00534B59"/>
    <w:rsid w:val="005359B5"/>
    <w:rsid w:val="00535B88"/>
    <w:rsid w:val="00536759"/>
    <w:rsid w:val="00536D13"/>
    <w:rsid w:val="00537C62"/>
    <w:rsid w:val="005411B7"/>
    <w:rsid w:val="005412C2"/>
    <w:rsid w:val="00541900"/>
    <w:rsid w:val="0054235D"/>
    <w:rsid w:val="00542BD2"/>
    <w:rsid w:val="005434A8"/>
    <w:rsid w:val="00544034"/>
    <w:rsid w:val="00544980"/>
    <w:rsid w:val="00545F92"/>
    <w:rsid w:val="0054613C"/>
    <w:rsid w:val="00546374"/>
    <w:rsid w:val="00546970"/>
    <w:rsid w:val="00546C60"/>
    <w:rsid w:val="00547918"/>
    <w:rsid w:val="00551A99"/>
    <w:rsid w:val="00551C7E"/>
    <w:rsid w:val="00552858"/>
    <w:rsid w:val="00552BA1"/>
    <w:rsid w:val="00553A92"/>
    <w:rsid w:val="00553BD3"/>
    <w:rsid w:val="00554E19"/>
    <w:rsid w:val="00555E40"/>
    <w:rsid w:val="00556294"/>
    <w:rsid w:val="00557606"/>
    <w:rsid w:val="00557FF6"/>
    <w:rsid w:val="005606F5"/>
    <w:rsid w:val="0056121F"/>
    <w:rsid w:val="0056208A"/>
    <w:rsid w:val="005626F0"/>
    <w:rsid w:val="0056318C"/>
    <w:rsid w:val="00563A71"/>
    <w:rsid w:val="00563A8F"/>
    <w:rsid w:val="00564380"/>
    <w:rsid w:val="00564EE0"/>
    <w:rsid w:val="00565968"/>
    <w:rsid w:val="00570D29"/>
    <w:rsid w:val="005718C6"/>
    <w:rsid w:val="00572313"/>
    <w:rsid w:val="00572505"/>
    <w:rsid w:val="005757B1"/>
    <w:rsid w:val="00577399"/>
    <w:rsid w:val="005808C3"/>
    <w:rsid w:val="00581017"/>
    <w:rsid w:val="005814A3"/>
    <w:rsid w:val="005819E4"/>
    <w:rsid w:val="00581B9A"/>
    <w:rsid w:val="0058250D"/>
    <w:rsid w:val="00582809"/>
    <w:rsid w:val="00586940"/>
    <w:rsid w:val="005874CA"/>
    <w:rsid w:val="0058798C"/>
    <w:rsid w:val="005900FA"/>
    <w:rsid w:val="005914E1"/>
    <w:rsid w:val="005918F5"/>
    <w:rsid w:val="005924DE"/>
    <w:rsid w:val="005935A4"/>
    <w:rsid w:val="005936C1"/>
    <w:rsid w:val="00593AF9"/>
    <w:rsid w:val="005948C2"/>
    <w:rsid w:val="005955CA"/>
    <w:rsid w:val="00595AD9"/>
    <w:rsid w:val="00595DCA"/>
    <w:rsid w:val="00596950"/>
    <w:rsid w:val="0059716C"/>
    <w:rsid w:val="0059779B"/>
    <w:rsid w:val="00597DCE"/>
    <w:rsid w:val="00597EC4"/>
    <w:rsid w:val="005A0078"/>
    <w:rsid w:val="005A209A"/>
    <w:rsid w:val="005A2193"/>
    <w:rsid w:val="005A3446"/>
    <w:rsid w:val="005A364F"/>
    <w:rsid w:val="005A3D9D"/>
    <w:rsid w:val="005A41C4"/>
    <w:rsid w:val="005A5864"/>
    <w:rsid w:val="005A6371"/>
    <w:rsid w:val="005A662D"/>
    <w:rsid w:val="005B00F4"/>
    <w:rsid w:val="005B1409"/>
    <w:rsid w:val="005B35D7"/>
    <w:rsid w:val="005B392A"/>
    <w:rsid w:val="005B3AA3"/>
    <w:rsid w:val="005B4919"/>
    <w:rsid w:val="005B546B"/>
    <w:rsid w:val="005B57BF"/>
    <w:rsid w:val="005B691F"/>
    <w:rsid w:val="005B6F83"/>
    <w:rsid w:val="005B7726"/>
    <w:rsid w:val="005C022A"/>
    <w:rsid w:val="005C02AA"/>
    <w:rsid w:val="005C0C1C"/>
    <w:rsid w:val="005C1141"/>
    <w:rsid w:val="005C17A9"/>
    <w:rsid w:val="005C2D66"/>
    <w:rsid w:val="005C4499"/>
    <w:rsid w:val="005C4978"/>
    <w:rsid w:val="005C598E"/>
    <w:rsid w:val="005C74FB"/>
    <w:rsid w:val="005C7A25"/>
    <w:rsid w:val="005C7D0D"/>
    <w:rsid w:val="005D00F5"/>
    <w:rsid w:val="005D06FA"/>
    <w:rsid w:val="005D1602"/>
    <w:rsid w:val="005D18A0"/>
    <w:rsid w:val="005D3670"/>
    <w:rsid w:val="005D4F64"/>
    <w:rsid w:val="005D5819"/>
    <w:rsid w:val="005D62C1"/>
    <w:rsid w:val="005D6AF4"/>
    <w:rsid w:val="005D7564"/>
    <w:rsid w:val="005E03E8"/>
    <w:rsid w:val="005E0C01"/>
    <w:rsid w:val="005E348E"/>
    <w:rsid w:val="005E385F"/>
    <w:rsid w:val="005E477E"/>
    <w:rsid w:val="005E4CBC"/>
    <w:rsid w:val="005E510E"/>
    <w:rsid w:val="005E5B81"/>
    <w:rsid w:val="005E5C84"/>
    <w:rsid w:val="005E70AC"/>
    <w:rsid w:val="005E70B4"/>
    <w:rsid w:val="005E7FD1"/>
    <w:rsid w:val="005F0A89"/>
    <w:rsid w:val="005F1473"/>
    <w:rsid w:val="005F1B3F"/>
    <w:rsid w:val="005F2CB1"/>
    <w:rsid w:val="005F3025"/>
    <w:rsid w:val="005F319B"/>
    <w:rsid w:val="005F529E"/>
    <w:rsid w:val="005F5351"/>
    <w:rsid w:val="005F5545"/>
    <w:rsid w:val="005F5D69"/>
    <w:rsid w:val="005F6064"/>
    <w:rsid w:val="005F618C"/>
    <w:rsid w:val="005F70BD"/>
    <w:rsid w:val="00600FB3"/>
    <w:rsid w:val="006015B4"/>
    <w:rsid w:val="00601FB9"/>
    <w:rsid w:val="0060283C"/>
    <w:rsid w:val="006049FF"/>
    <w:rsid w:val="00604F14"/>
    <w:rsid w:val="0061021B"/>
    <w:rsid w:val="00611137"/>
    <w:rsid w:val="00611B83"/>
    <w:rsid w:val="0061231E"/>
    <w:rsid w:val="0061256E"/>
    <w:rsid w:val="00612B61"/>
    <w:rsid w:val="00612C27"/>
    <w:rsid w:val="00613257"/>
    <w:rsid w:val="006154C0"/>
    <w:rsid w:val="006159CA"/>
    <w:rsid w:val="00616F4C"/>
    <w:rsid w:val="00617546"/>
    <w:rsid w:val="00620A71"/>
    <w:rsid w:val="00620BAF"/>
    <w:rsid w:val="00620D80"/>
    <w:rsid w:val="006234A6"/>
    <w:rsid w:val="006238F9"/>
    <w:rsid w:val="0062505A"/>
    <w:rsid w:val="0062636A"/>
    <w:rsid w:val="00630001"/>
    <w:rsid w:val="0063043D"/>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7EC"/>
    <w:rsid w:val="006378E2"/>
    <w:rsid w:val="00637B59"/>
    <w:rsid w:val="006407A7"/>
    <w:rsid w:val="00640BD0"/>
    <w:rsid w:val="0064151F"/>
    <w:rsid w:val="00641533"/>
    <w:rsid w:val="0064208D"/>
    <w:rsid w:val="00643475"/>
    <w:rsid w:val="0064396A"/>
    <w:rsid w:val="00645586"/>
    <w:rsid w:val="0064624E"/>
    <w:rsid w:val="00646F2A"/>
    <w:rsid w:val="0065092B"/>
    <w:rsid w:val="00650AB9"/>
    <w:rsid w:val="00651147"/>
    <w:rsid w:val="00651440"/>
    <w:rsid w:val="00651636"/>
    <w:rsid w:val="00651D49"/>
    <w:rsid w:val="00653232"/>
    <w:rsid w:val="00655733"/>
    <w:rsid w:val="00655ACD"/>
    <w:rsid w:val="00656A92"/>
    <w:rsid w:val="00656DDE"/>
    <w:rsid w:val="0066011D"/>
    <w:rsid w:val="006607C0"/>
    <w:rsid w:val="006613A6"/>
    <w:rsid w:val="006620A0"/>
    <w:rsid w:val="006627A2"/>
    <w:rsid w:val="006634E6"/>
    <w:rsid w:val="006646DC"/>
    <w:rsid w:val="00665408"/>
    <w:rsid w:val="006655EE"/>
    <w:rsid w:val="00667620"/>
    <w:rsid w:val="00667EE7"/>
    <w:rsid w:val="00670922"/>
    <w:rsid w:val="00670BE1"/>
    <w:rsid w:val="0067218F"/>
    <w:rsid w:val="00672F55"/>
    <w:rsid w:val="006741F2"/>
    <w:rsid w:val="00674CC3"/>
    <w:rsid w:val="00675C72"/>
    <w:rsid w:val="006769B6"/>
    <w:rsid w:val="00676E02"/>
    <w:rsid w:val="006771F9"/>
    <w:rsid w:val="006776D7"/>
    <w:rsid w:val="00681003"/>
    <w:rsid w:val="006817C9"/>
    <w:rsid w:val="00681A2E"/>
    <w:rsid w:val="00682903"/>
    <w:rsid w:val="00682BA2"/>
    <w:rsid w:val="0068380C"/>
    <w:rsid w:val="00683AB8"/>
    <w:rsid w:val="00683ECE"/>
    <w:rsid w:val="00684055"/>
    <w:rsid w:val="006845D2"/>
    <w:rsid w:val="006848C2"/>
    <w:rsid w:val="00684BAE"/>
    <w:rsid w:val="00684BF9"/>
    <w:rsid w:val="0068507A"/>
    <w:rsid w:val="00685BC7"/>
    <w:rsid w:val="00686082"/>
    <w:rsid w:val="0069027E"/>
    <w:rsid w:val="00690D5B"/>
    <w:rsid w:val="00691710"/>
    <w:rsid w:val="0069240D"/>
    <w:rsid w:val="00692424"/>
    <w:rsid w:val="00692948"/>
    <w:rsid w:val="0069317F"/>
    <w:rsid w:val="00693788"/>
    <w:rsid w:val="00693E16"/>
    <w:rsid w:val="006957A1"/>
    <w:rsid w:val="00695DF3"/>
    <w:rsid w:val="00695FC2"/>
    <w:rsid w:val="00696949"/>
    <w:rsid w:val="00696C4B"/>
    <w:rsid w:val="00697052"/>
    <w:rsid w:val="006A0363"/>
    <w:rsid w:val="006A0C0D"/>
    <w:rsid w:val="006A2E93"/>
    <w:rsid w:val="006A3ED9"/>
    <w:rsid w:val="006A46FB"/>
    <w:rsid w:val="006A4C62"/>
    <w:rsid w:val="006A5BF6"/>
    <w:rsid w:val="006A5E28"/>
    <w:rsid w:val="006A697B"/>
    <w:rsid w:val="006A711D"/>
    <w:rsid w:val="006A7AFF"/>
    <w:rsid w:val="006A7C2D"/>
    <w:rsid w:val="006B1816"/>
    <w:rsid w:val="006B2099"/>
    <w:rsid w:val="006B2B92"/>
    <w:rsid w:val="006B3530"/>
    <w:rsid w:val="006B4BD0"/>
    <w:rsid w:val="006B50CF"/>
    <w:rsid w:val="006B5ADF"/>
    <w:rsid w:val="006B5F9C"/>
    <w:rsid w:val="006B6E44"/>
    <w:rsid w:val="006C03B8"/>
    <w:rsid w:val="006C4628"/>
    <w:rsid w:val="006C48F0"/>
    <w:rsid w:val="006C595D"/>
    <w:rsid w:val="006C5B71"/>
    <w:rsid w:val="006C5EC9"/>
    <w:rsid w:val="006C6059"/>
    <w:rsid w:val="006C6832"/>
    <w:rsid w:val="006C7522"/>
    <w:rsid w:val="006C7FEF"/>
    <w:rsid w:val="006D0D02"/>
    <w:rsid w:val="006D2228"/>
    <w:rsid w:val="006D25A1"/>
    <w:rsid w:val="006D44B8"/>
    <w:rsid w:val="006D51F7"/>
    <w:rsid w:val="006D664D"/>
    <w:rsid w:val="006D6DC4"/>
    <w:rsid w:val="006D6F08"/>
    <w:rsid w:val="006D719D"/>
    <w:rsid w:val="006D7F4B"/>
    <w:rsid w:val="006E062C"/>
    <w:rsid w:val="006E1C82"/>
    <w:rsid w:val="006E27D4"/>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1FF2"/>
    <w:rsid w:val="006F2BF3"/>
    <w:rsid w:val="006F2DB7"/>
    <w:rsid w:val="006F341D"/>
    <w:rsid w:val="006F397C"/>
    <w:rsid w:val="006F3C68"/>
    <w:rsid w:val="006F3CDE"/>
    <w:rsid w:val="006F3DFE"/>
    <w:rsid w:val="006F54E7"/>
    <w:rsid w:val="006F58D4"/>
    <w:rsid w:val="006F6582"/>
    <w:rsid w:val="006F77E2"/>
    <w:rsid w:val="006F7F01"/>
    <w:rsid w:val="00700337"/>
    <w:rsid w:val="0070076F"/>
    <w:rsid w:val="00700D8E"/>
    <w:rsid w:val="00702405"/>
    <w:rsid w:val="00702754"/>
    <w:rsid w:val="0070346E"/>
    <w:rsid w:val="00703E63"/>
    <w:rsid w:val="00704EDB"/>
    <w:rsid w:val="00705708"/>
    <w:rsid w:val="00706101"/>
    <w:rsid w:val="007061A6"/>
    <w:rsid w:val="00706B05"/>
    <w:rsid w:val="00707072"/>
    <w:rsid w:val="00707D61"/>
    <w:rsid w:val="00707E7F"/>
    <w:rsid w:val="007102DC"/>
    <w:rsid w:val="00712287"/>
    <w:rsid w:val="00712772"/>
    <w:rsid w:val="00712945"/>
    <w:rsid w:val="007148D3"/>
    <w:rsid w:val="00715B9A"/>
    <w:rsid w:val="00715D2A"/>
    <w:rsid w:val="007165F2"/>
    <w:rsid w:val="00716A45"/>
    <w:rsid w:val="00716BFD"/>
    <w:rsid w:val="0071768E"/>
    <w:rsid w:val="00724FCB"/>
    <w:rsid w:val="00725512"/>
    <w:rsid w:val="007257D0"/>
    <w:rsid w:val="00725E88"/>
    <w:rsid w:val="00726C05"/>
    <w:rsid w:val="00726EA6"/>
    <w:rsid w:val="00727208"/>
    <w:rsid w:val="00727680"/>
    <w:rsid w:val="0073035B"/>
    <w:rsid w:val="00730FAF"/>
    <w:rsid w:val="007310ED"/>
    <w:rsid w:val="00731689"/>
    <w:rsid w:val="00732C81"/>
    <w:rsid w:val="007333EB"/>
    <w:rsid w:val="00733A2C"/>
    <w:rsid w:val="007348B1"/>
    <w:rsid w:val="00734EC1"/>
    <w:rsid w:val="00735AE4"/>
    <w:rsid w:val="007362A6"/>
    <w:rsid w:val="00736D7D"/>
    <w:rsid w:val="00737B7F"/>
    <w:rsid w:val="00740E58"/>
    <w:rsid w:val="0074271D"/>
    <w:rsid w:val="007435A5"/>
    <w:rsid w:val="00743E23"/>
    <w:rsid w:val="007445A0"/>
    <w:rsid w:val="0074524B"/>
    <w:rsid w:val="00746125"/>
    <w:rsid w:val="007468CB"/>
    <w:rsid w:val="00747D8B"/>
    <w:rsid w:val="00751228"/>
    <w:rsid w:val="00752E21"/>
    <w:rsid w:val="00753095"/>
    <w:rsid w:val="00754DEB"/>
    <w:rsid w:val="00756293"/>
    <w:rsid w:val="007571E1"/>
    <w:rsid w:val="00757A16"/>
    <w:rsid w:val="007604B2"/>
    <w:rsid w:val="007619BE"/>
    <w:rsid w:val="00761C9F"/>
    <w:rsid w:val="00761F49"/>
    <w:rsid w:val="007626B2"/>
    <w:rsid w:val="00762B2A"/>
    <w:rsid w:val="00762B44"/>
    <w:rsid w:val="007641C9"/>
    <w:rsid w:val="00765281"/>
    <w:rsid w:val="007664DD"/>
    <w:rsid w:val="00766BAD"/>
    <w:rsid w:val="007678F9"/>
    <w:rsid w:val="0077018D"/>
    <w:rsid w:val="007718FE"/>
    <w:rsid w:val="0077277D"/>
    <w:rsid w:val="007729A2"/>
    <w:rsid w:val="0077467A"/>
    <w:rsid w:val="00774C3A"/>
    <w:rsid w:val="007755F2"/>
    <w:rsid w:val="00775687"/>
    <w:rsid w:val="00776410"/>
    <w:rsid w:val="00776811"/>
    <w:rsid w:val="00776971"/>
    <w:rsid w:val="00777E77"/>
    <w:rsid w:val="00780A80"/>
    <w:rsid w:val="00780ADF"/>
    <w:rsid w:val="00781045"/>
    <w:rsid w:val="007812D4"/>
    <w:rsid w:val="0078145E"/>
    <w:rsid w:val="0078177E"/>
    <w:rsid w:val="00781BA6"/>
    <w:rsid w:val="00781F05"/>
    <w:rsid w:val="0078304C"/>
    <w:rsid w:val="00783673"/>
    <w:rsid w:val="00783C38"/>
    <w:rsid w:val="00784AFF"/>
    <w:rsid w:val="00784F6B"/>
    <w:rsid w:val="00785490"/>
    <w:rsid w:val="00787B0E"/>
    <w:rsid w:val="007925EA"/>
    <w:rsid w:val="00792A77"/>
    <w:rsid w:val="007930A9"/>
    <w:rsid w:val="00793404"/>
    <w:rsid w:val="00793CD8"/>
    <w:rsid w:val="00794DCE"/>
    <w:rsid w:val="00795C92"/>
    <w:rsid w:val="00795DF7"/>
    <w:rsid w:val="00796231"/>
    <w:rsid w:val="00796FFD"/>
    <w:rsid w:val="00797F12"/>
    <w:rsid w:val="007A0E7B"/>
    <w:rsid w:val="007A1CB3"/>
    <w:rsid w:val="007A2EE1"/>
    <w:rsid w:val="007A306F"/>
    <w:rsid w:val="007A41EA"/>
    <w:rsid w:val="007A43A6"/>
    <w:rsid w:val="007A4A69"/>
    <w:rsid w:val="007A58A6"/>
    <w:rsid w:val="007A5ADC"/>
    <w:rsid w:val="007A5D7A"/>
    <w:rsid w:val="007B1D53"/>
    <w:rsid w:val="007B24F1"/>
    <w:rsid w:val="007B2CB4"/>
    <w:rsid w:val="007B368A"/>
    <w:rsid w:val="007B39E1"/>
    <w:rsid w:val="007B3D2D"/>
    <w:rsid w:val="007B4464"/>
    <w:rsid w:val="007B45E4"/>
    <w:rsid w:val="007B50AE"/>
    <w:rsid w:val="007B51DF"/>
    <w:rsid w:val="007B5A07"/>
    <w:rsid w:val="007B619D"/>
    <w:rsid w:val="007B692C"/>
    <w:rsid w:val="007B7514"/>
    <w:rsid w:val="007C05DD"/>
    <w:rsid w:val="007C0E06"/>
    <w:rsid w:val="007C1A70"/>
    <w:rsid w:val="007C1BB7"/>
    <w:rsid w:val="007C3D18"/>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68F"/>
    <w:rsid w:val="007E1D90"/>
    <w:rsid w:val="007E4610"/>
    <w:rsid w:val="007E4715"/>
    <w:rsid w:val="007E505B"/>
    <w:rsid w:val="007E646E"/>
    <w:rsid w:val="007E7091"/>
    <w:rsid w:val="007F0B5A"/>
    <w:rsid w:val="007F22F7"/>
    <w:rsid w:val="00801A00"/>
    <w:rsid w:val="00801ACF"/>
    <w:rsid w:val="00801C92"/>
    <w:rsid w:val="00802B94"/>
    <w:rsid w:val="008031A4"/>
    <w:rsid w:val="00803279"/>
    <w:rsid w:val="00803FAE"/>
    <w:rsid w:val="00804BC6"/>
    <w:rsid w:val="0080605F"/>
    <w:rsid w:val="0080641A"/>
    <w:rsid w:val="00807786"/>
    <w:rsid w:val="00811FCB"/>
    <w:rsid w:val="00813E75"/>
    <w:rsid w:val="008148D5"/>
    <w:rsid w:val="00815321"/>
    <w:rsid w:val="008158D6"/>
    <w:rsid w:val="00817196"/>
    <w:rsid w:val="00817E91"/>
    <w:rsid w:val="00817F2F"/>
    <w:rsid w:val="00820102"/>
    <w:rsid w:val="00820D30"/>
    <w:rsid w:val="00821C2B"/>
    <w:rsid w:val="008235DB"/>
    <w:rsid w:val="008240A3"/>
    <w:rsid w:val="00824AB4"/>
    <w:rsid w:val="0082508F"/>
    <w:rsid w:val="00825C42"/>
    <w:rsid w:val="00825D25"/>
    <w:rsid w:val="00825D7C"/>
    <w:rsid w:val="00827313"/>
    <w:rsid w:val="00827D6F"/>
    <w:rsid w:val="0083134C"/>
    <w:rsid w:val="00833F37"/>
    <w:rsid w:val="00833F83"/>
    <w:rsid w:val="00835E1C"/>
    <w:rsid w:val="00836E12"/>
    <w:rsid w:val="00836FC4"/>
    <w:rsid w:val="008376AC"/>
    <w:rsid w:val="00837BD4"/>
    <w:rsid w:val="008409F6"/>
    <w:rsid w:val="0084122B"/>
    <w:rsid w:val="00841DB4"/>
    <w:rsid w:val="008422F5"/>
    <w:rsid w:val="0084252B"/>
    <w:rsid w:val="008444E8"/>
    <w:rsid w:val="0084450D"/>
    <w:rsid w:val="00844E80"/>
    <w:rsid w:val="00846FE7"/>
    <w:rsid w:val="008478F9"/>
    <w:rsid w:val="00847E11"/>
    <w:rsid w:val="00850627"/>
    <w:rsid w:val="00851649"/>
    <w:rsid w:val="00852D04"/>
    <w:rsid w:val="00854CE1"/>
    <w:rsid w:val="00855ED3"/>
    <w:rsid w:val="00856911"/>
    <w:rsid w:val="008570FE"/>
    <w:rsid w:val="008572FD"/>
    <w:rsid w:val="0086200C"/>
    <w:rsid w:val="008626AB"/>
    <w:rsid w:val="00864885"/>
    <w:rsid w:val="00866E1D"/>
    <w:rsid w:val="0086707C"/>
    <w:rsid w:val="008676AD"/>
    <w:rsid w:val="008677FD"/>
    <w:rsid w:val="008706D4"/>
    <w:rsid w:val="008709B7"/>
    <w:rsid w:val="00870F8A"/>
    <w:rsid w:val="008719A4"/>
    <w:rsid w:val="00871D23"/>
    <w:rsid w:val="00871F1C"/>
    <w:rsid w:val="00874312"/>
    <w:rsid w:val="0087437C"/>
    <w:rsid w:val="0087529D"/>
    <w:rsid w:val="00875CD7"/>
    <w:rsid w:val="00876021"/>
    <w:rsid w:val="00876B4D"/>
    <w:rsid w:val="00876B75"/>
    <w:rsid w:val="00877F18"/>
    <w:rsid w:val="0088127F"/>
    <w:rsid w:val="00881B6E"/>
    <w:rsid w:val="008862B5"/>
    <w:rsid w:val="00886408"/>
    <w:rsid w:val="008870A3"/>
    <w:rsid w:val="0089138A"/>
    <w:rsid w:val="00891BB5"/>
    <w:rsid w:val="00891F54"/>
    <w:rsid w:val="00891F7C"/>
    <w:rsid w:val="0089220C"/>
    <w:rsid w:val="008930F3"/>
    <w:rsid w:val="008931AF"/>
    <w:rsid w:val="008941E3"/>
    <w:rsid w:val="00894A88"/>
    <w:rsid w:val="00895386"/>
    <w:rsid w:val="00895540"/>
    <w:rsid w:val="00895883"/>
    <w:rsid w:val="008961F3"/>
    <w:rsid w:val="00896595"/>
    <w:rsid w:val="008978A9"/>
    <w:rsid w:val="008A1996"/>
    <w:rsid w:val="008A21FF"/>
    <w:rsid w:val="008A2CE2"/>
    <w:rsid w:val="008A30AC"/>
    <w:rsid w:val="008A31A8"/>
    <w:rsid w:val="008A44B8"/>
    <w:rsid w:val="008A51A8"/>
    <w:rsid w:val="008A54C7"/>
    <w:rsid w:val="008A6253"/>
    <w:rsid w:val="008A6729"/>
    <w:rsid w:val="008A77D8"/>
    <w:rsid w:val="008B0483"/>
    <w:rsid w:val="008B082C"/>
    <w:rsid w:val="008B120C"/>
    <w:rsid w:val="008B1373"/>
    <w:rsid w:val="008B1661"/>
    <w:rsid w:val="008B1FB7"/>
    <w:rsid w:val="008B5010"/>
    <w:rsid w:val="008B51A0"/>
    <w:rsid w:val="008B592A"/>
    <w:rsid w:val="008B5AEC"/>
    <w:rsid w:val="008B5B1F"/>
    <w:rsid w:val="008B60A1"/>
    <w:rsid w:val="008B708D"/>
    <w:rsid w:val="008B7B5C"/>
    <w:rsid w:val="008C0C99"/>
    <w:rsid w:val="008C2017"/>
    <w:rsid w:val="008C2DAD"/>
    <w:rsid w:val="008C301B"/>
    <w:rsid w:val="008C387A"/>
    <w:rsid w:val="008C439D"/>
    <w:rsid w:val="008C4958"/>
    <w:rsid w:val="008C4BAA"/>
    <w:rsid w:val="008C6AE8"/>
    <w:rsid w:val="008C6C13"/>
    <w:rsid w:val="008C7573"/>
    <w:rsid w:val="008D00A5"/>
    <w:rsid w:val="008D0ADE"/>
    <w:rsid w:val="008D1938"/>
    <w:rsid w:val="008D1D28"/>
    <w:rsid w:val="008D2B63"/>
    <w:rsid w:val="008D34F1"/>
    <w:rsid w:val="008D370F"/>
    <w:rsid w:val="008D39D8"/>
    <w:rsid w:val="008D47C0"/>
    <w:rsid w:val="008D6403"/>
    <w:rsid w:val="008D6451"/>
    <w:rsid w:val="008D668C"/>
    <w:rsid w:val="008D69D8"/>
    <w:rsid w:val="008D6D1A"/>
    <w:rsid w:val="008E065E"/>
    <w:rsid w:val="008E0927"/>
    <w:rsid w:val="008E1909"/>
    <w:rsid w:val="008E3EF9"/>
    <w:rsid w:val="008E4286"/>
    <w:rsid w:val="008E50B8"/>
    <w:rsid w:val="008E66CC"/>
    <w:rsid w:val="008E73A4"/>
    <w:rsid w:val="008F0718"/>
    <w:rsid w:val="008F0FB7"/>
    <w:rsid w:val="008F1EAB"/>
    <w:rsid w:val="008F33DC"/>
    <w:rsid w:val="008F477F"/>
    <w:rsid w:val="008F4AF0"/>
    <w:rsid w:val="008F4C3F"/>
    <w:rsid w:val="00900212"/>
    <w:rsid w:val="00901AC0"/>
    <w:rsid w:val="00902350"/>
    <w:rsid w:val="0090290D"/>
    <w:rsid w:val="0090336B"/>
    <w:rsid w:val="00903B15"/>
    <w:rsid w:val="009053AA"/>
    <w:rsid w:val="009053C7"/>
    <w:rsid w:val="00906939"/>
    <w:rsid w:val="00906CDE"/>
    <w:rsid w:val="00910499"/>
    <w:rsid w:val="00910B7D"/>
    <w:rsid w:val="00911A15"/>
    <w:rsid w:val="00911DFB"/>
    <w:rsid w:val="009122CB"/>
    <w:rsid w:val="009136DF"/>
    <w:rsid w:val="0091389E"/>
    <w:rsid w:val="009139D9"/>
    <w:rsid w:val="00913DAA"/>
    <w:rsid w:val="00914AD8"/>
    <w:rsid w:val="009152C0"/>
    <w:rsid w:val="00916079"/>
    <w:rsid w:val="00916520"/>
    <w:rsid w:val="009177B7"/>
    <w:rsid w:val="0091791C"/>
    <w:rsid w:val="00917CE9"/>
    <w:rsid w:val="00920731"/>
    <w:rsid w:val="00920BF2"/>
    <w:rsid w:val="00920D1D"/>
    <w:rsid w:val="00920FDC"/>
    <w:rsid w:val="009210A2"/>
    <w:rsid w:val="00922010"/>
    <w:rsid w:val="00922829"/>
    <w:rsid w:val="00922B92"/>
    <w:rsid w:val="009230D7"/>
    <w:rsid w:val="00931BD9"/>
    <w:rsid w:val="00932AB1"/>
    <w:rsid w:val="00932D89"/>
    <w:rsid w:val="00932F86"/>
    <w:rsid w:val="00934AF5"/>
    <w:rsid w:val="00935D2F"/>
    <w:rsid w:val="009368F3"/>
    <w:rsid w:val="00936D11"/>
    <w:rsid w:val="009373D8"/>
    <w:rsid w:val="00937871"/>
    <w:rsid w:val="00937B32"/>
    <w:rsid w:val="0094033A"/>
    <w:rsid w:val="00941636"/>
    <w:rsid w:val="009426DC"/>
    <w:rsid w:val="00943742"/>
    <w:rsid w:val="00943CA1"/>
    <w:rsid w:val="00945866"/>
    <w:rsid w:val="00945C00"/>
    <w:rsid w:val="00945C05"/>
    <w:rsid w:val="009467CA"/>
    <w:rsid w:val="00946945"/>
    <w:rsid w:val="00947713"/>
    <w:rsid w:val="00947C9C"/>
    <w:rsid w:val="00950DE7"/>
    <w:rsid w:val="009515F1"/>
    <w:rsid w:val="00952169"/>
    <w:rsid w:val="00953920"/>
    <w:rsid w:val="00953D47"/>
    <w:rsid w:val="00954C40"/>
    <w:rsid w:val="0095598F"/>
    <w:rsid w:val="00955ABA"/>
    <w:rsid w:val="0095681E"/>
    <w:rsid w:val="009572D4"/>
    <w:rsid w:val="00957BE1"/>
    <w:rsid w:val="00961921"/>
    <w:rsid w:val="00962A1C"/>
    <w:rsid w:val="009630EC"/>
    <w:rsid w:val="0096430A"/>
    <w:rsid w:val="00964C60"/>
    <w:rsid w:val="0096554B"/>
    <w:rsid w:val="0096584A"/>
    <w:rsid w:val="00965FB7"/>
    <w:rsid w:val="00967B4F"/>
    <w:rsid w:val="0097014A"/>
    <w:rsid w:val="00971F08"/>
    <w:rsid w:val="009725D7"/>
    <w:rsid w:val="0097261E"/>
    <w:rsid w:val="00973321"/>
    <w:rsid w:val="00974DFB"/>
    <w:rsid w:val="0097603D"/>
    <w:rsid w:val="00976931"/>
    <w:rsid w:val="00976949"/>
    <w:rsid w:val="00976D6E"/>
    <w:rsid w:val="00977DBE"/>
    <w:rsid w:val="009800DC"/>
    <w:rsid w:val="009801CD"/>
    <w:rsid w:val="00980477"/>
    <w:rsid w:val="00980499"/>
    <w:rsid w:val="00980B76"/>
    <w:rsid w:val="00980FDE"/>
    <w:rsid w:val="00981A4B"/>
    <w:rsid w:val="00982492"/>
    <w:rsid w:val="009840A8"/>
    <w:rsid w:val="00985253"/>
    <w:rsid w:val="009853B3"/>
    <w:rsid w:val="00987F1F"/>
    <w:rsid w:val="00990630"/>
    <w:rsid w:val="0099074A"/>
    <w:rsid w:val="00991562"/>
    <w:rsid w:val="009915A5"/>
    <w:rsid w:val="00991761"/>
    <w:rsid w:val="00994DCA"/>
    <w:rsid w:val="0099566C"/>
    <w:rsid w:val="00995A51"/>
    <w:rsid w:val="009960EC"/>
    <w:rsid w:val="00996CBA"/>
    <w:rsid w:val="009970DD"/>
    <w:rsid w:val="00997D5F"/>
    <w:rsid w:val="009A0333"/>
    <w:rsid w:val="009A0B11"/>
    <w:rsid w:val="009A0EFF"/>
    <w:rsid w:val="009A0FBA"/>
    <w:rsid w:val="009A1601"/>
    <w:rsid w:val="009A2DE9"/>
    <w:rsid w:val="009A3BB6"/>
    <w:rsid w:val="009A3BD6"/>
    <w:rsid w:val="009A4187"/>
    <w:rsid w:val="009A462D"/>
    <w:rsid w:val="009A5CBA"/>
    <w:rsid w:val="009A65B0"/>
    <w:rsid w:val="009A6DDD"/>
    <w:rsid w:val="009A6F20"/>
    <w:rsid w:val="009A7003"/>
    <w:rsid w:val="009A7D65"/>
    <w:rsid w:val="009A7E49"/>
    <w:rsid w:val="009B0903"/>
    <w:rsid w:val="009B19D4"/>
    <w:rsid w:val="009B1BF0"/>
    <w:rsid w:val="009B1F30"/>
    <w:rsid w:val="009B2F63"/>
    <w:rsid w:val="009B3063"/>
    <w:rsid w:val="009B3243"/>
    <w:rsid w:val="009B33F1"/>
    <w:rsid w:val="009B3AC2"/>
    <w:rsid w:val="009B3D6A"/>
    <w:rsid w:val="009B4DF4"/>
    <w:rsid w:val="009B564E"/>
    <w:rsid w:val="009B7597"/>
    <w:rsid w:val="009B7E87"/>
    <w:rsid w:val="009C0169"/>
    <w:rsid w:val="009C0447"/>
    <w:rsid w:val="009C28E1"/>
    <w:rsid w:val="009C2912"/>
    <w:rsid w:val="009C36A8"/>
    <w:rsid w:val="009C403E"/>
    <w:rsid w:val="009C49E6"/>
    <w:rsid w:val="009C6739"/>
    <w:rsid w:val="009C6E11"/>
    <w:rsid w:val="009D00F3"/>
    <w:rsid w:val="009D3282"/>
    <w:rsid w:val="009D3761"/>
    <w:rsid w:val="009D4FF0"/>
    <w:rsid w:val="009D6097"/>
    <w:rsid w:val="009D6C93"/>
    <w:rsid w:val="009D700D"/>
    <w:rsid w:val="009D703C"/>
    <w:rsid w:val="009D718F"/>
    <w:rsid w:val="009E068F"/>
    <w:rsid w:val="009E14E0"/>
    <w:rsid w:val="009E1BC1"/>
    <w:rsid w:val="009E35DB"/>
    <w:rsid w:val="009E3D05"/>
    <w:rsid w:val="009E3DC6"/>
    <w:rsid w:val="009E47A3"/>
    <w:rsid w:val="009E5512"/>
    <w:rsid w:val="009E6354"/>
    <w:rsid w:val="009E7EEB"/>
    <w:rsid w:val="009F02C3"/>
    <w:rsid w:val="009F02F4"/>
    <w:rsid w:val="009F08F3"/>
    <w:rsid w:val="009F0AF1"/>
    <w:rsid w:val="009F161B"/>
    <w:rsid w:val="009F16F5"/>
    <w:rsid w:val="009F2205"/>
    <w:rsid w:val="009F344F"/>
    <w:rsid w:val="009F393B"/>
    <w:rsid w:val="009F4713"/>
    <w:rsid w:val="009F5A30"/>
    <w:rsid w:val="00A01179"/>
    <w:rsid w:val="00A02126"/>
    <w:rsid w:val="00A031D8"/>
    <w:rsid w:val="00A03C86"/>
    <w:rsid w:val="00A048A8"/>
    <w:rsid w:val="00A04E4A"/>
    <w:rsid w:val="00A04F49"/>
    <w:rsid w:val="00A056F8"/>
    <w:rsid w:val="00A062C9"/>
    <w:rsid w:val="00A0670D"/>
    <w:rsid w:val="00A06A31"/>
    <w:rsid w:val="00A07825"/>
    <w:rsid w:val="00A10969"/>
    <w:rsid w:val="00A1338B"/>
    <w:rsid w:val="00A13E54"/>
    <w:rsid w:val="00A16103"/>
    <w:rsid w:val="00A1645F"/>
    <w:rsid w:val="00A17F63"/>
    <w:rsid w:val="00A20205"/>
    <w:rsid w:val="00A20F99"/>
    <w:rsid w:val="00A21335"/>
    <w:rsid w:val="00A2193B"/>
    <w:rsid w:val="00A2351A"/>
    <w:rsid w:val="00A23681"/>
    <w:rsid w:val="00A24EFE"/>
    <w:rsid w:val="00A25CB2"/>
    <w:rsid w:val="00A264A9"/>
    <w:rsid w:val="00A26DCF"/>
    <w:rsid w:val="00A26E84"/>
    <w:rsid w:val="00A27785"/>
    <w:rsid w:val="00A30187"/>
    <w:rsid w:val="00A30A3E"/>
    <w:rsid w:val="00A30C01"/>
    <w:rsid w:val="00A311A7"/>
    <w:rsid w:val="00A315B6"/>
    <w:rsid w:val="00A31D2F"/>
    <w:rsid w:val="00A34188"/>
    <w:rsid w:val="00A3448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7240"/>
    <w:rsid w:val="00A61499"/>
    <w:rsid w:val="00A627CD"/>
    <w:rsid w:val="00A62A77"/>
    <w:rsid w:val="00A62B5B"/>
    <w:rsid w:val="00A63483"/>
    <w:rsid w:val="00A6441F"/>
    <w:rsid w:val="00A6442E"/>
    <w:rsid w:val="00A64FA1"/>
    <w:rsid w:val="00A655FC"/>
    <w:rsid w:val="00A657D7"/>
    <w:rsid w:val="00A659D8"/>
    <w:rsid w:val="00A660AC"/>
    <w:rsid w:val="00A66230"/>
    <w:rsid w:val="00A6694B"/>
    <w:rsid w:val="00A66B54"/>
    <w:rsid w:val="00A67E6C"/>
    <w:rsid w:val="00A67E8B"/>
    <w:rsid w:val="00A704B5"/>
    <w:rsid w:val="00A70F58"/>
    <w:rsid w:val="00A71B99"/>
    <w:rsid w:val="00A739D0"/>
    <w:rsid w:val="00A73A8F"/>
    <w:rsid w:val="00A761D4"/>
    <w:rsid w:val="00A776C3"/>
    <w:rsid w:val="00A77EC4"/>
    <w:rsid w:val="00A804AA"/>
    <w:rsid w:val="00A80783"/>
    <w:rsid w:val="00A8222F"/>
    <w:rsid w:val="00A83566"/>
    <w:rsid w:val="00A85BC1"/>
    <w:rsid w:val="00A8671A"/>
    <w:rsid w:val="00A8740B"/>
    <w:rsid w:val="00A874E2"/>
    <w:rsid w:val="00A91F2D"/>
    <w:rsid w:val="00A920A7"/>
    <w:rsid w:val="00A920C4"/>
    <w:rsid w:val="00A92879"/>
    <w:rsid w:val="00A9442A"/>
    <w:rsid w:val="00AA016F"/>
    <w:rsid w:val="00AA0A30"/>
    <w:rsid w:val="00AA1693"/>
    <w:rsid w:val="00AA1ED6"/>
    <w:rsid w:val="00AA23E8"/>
    <w:rsid w:val="00AA2637"/>
    <w:rsid w:val="00AA51D6"/>
    <w:rsid w:val="00AA5ACB"/>
    <w:rsid w:val="00AA62AB"/>
    <w:rsid w:val="00AA6547"/>
    <w:rsid w:val="00AB0A73"/>
    <w:rsid w:val="00AB0BC8"/>
    <w:rsid w:val="00AB0E04"/>
    <w:rsid w:val="00AB11CA"/>
    <w:rsid w:val="00AB14D9"/>
    <w:rsid w:val="00AB1B00"/>
    <w:rsid w:val="00AB1B6D"/>
    <w:rsid w:val="00AB3712"/>
    <w:rsid w:val="00AB3829"/>
    <w:rsid w:val="00AB3F1D"/>
    <w:rsid w:val="00AB40F1"/>
    <w:rsid w:val="00AB495E"/>
    <w:rsid w:val="00AB4AB8"/>
    <w:rsid w:val="00AB4EDC"/>
    <w:rsid w:val="00AB655E"/>
    <w:rsid w:val="00AB67AB"/>
    <w:rsid w:val="00AB7199"/>
    <w:rsid w:val="00AB7471"/>
    <w:rsid w:val="00AB7962"/>
    <w:rsid w:val="00AC007F"/>
    <w:rsid w:val="00AC1AF6"/>
    <w:rsid w:val="00AC2900"/>
    <w:rsid w:val="00AC2DAE"/>
    <w:rsid w:val="00AC2ECD"/>
    <w:rsid w:val="00AC3119"/>
    <w:rsid w:val="00AC3129"/>
    <w:rsid w:val="00AC49FB"/>
    <w:rsid w:val="00AC4A44"/>
    <w:rsid w:val="00AC585B"/>
    <w:rsid w:val="00AC5A10"/>
    <w:rsid w:val="00AD0AA3"/>
    <w:rsid w:val="00AD1117"/>
    <w:rsid w:val="00AD3F94"/>
    <w:rsid w:val="00AD4A5A"/>
    <w:rsid w:val="00AD4EDD"/>
    <w:rsid w:val="00AD6889"/>
    <w:rsid w:val="00AD6917"/>
    <w:rsid w:val="00AE095F"/>
    <w:rsid w:val="00AE0F4B"/>
    <w:rsid w:val="00AE162B"/>
    <w:rsid w:val="00AE20D7"/>
    <w:rsid w:val="00AE27AC"/>
    <w:rsid w:val="00AE33EF"/>
    <w:rsid w:val="00AE40E0"/>
    <w:rsid w:val="00AE4DBA"/>
    <w:rsid w:val="00AE4F07"/>
    <w:rsid w:val="00AE6558"/>
    <w:rsid w:val="00AE7B6B"/>
    <w:rsid w:val="00AF03CF"/>
    <w:rsid w:val="00AF1594"/>
    <w:rsid w:val="00AF1C5D"/>
    <w:rsid w:val="00AF1E50"/>
    <w:rsid w:val="00AF254F"/>
    <w:rsid w:val="00AF26F5"/>
    <w:rsid w:val="00AF39EE"/>
    <w:rsid w:val="00AF42BD"/>
    <w:rsid w:val="00AF42D7"/>
    <w:rsid w:val="00AF46EB"/>
    <w:rsid w:val="00B006FE"/>
    <w:rsid w:val="00B007CB"/>
    <w:rsid w:val="00B00E75"/>
    <w:rsid w:val="00B01C9A"/>
    <w:rsid w:val="00B029BF"/>
    <w:rsid w:val="00B02AA9"/>
    <w:rsid w:val="00B02DF6"/>
    <w:rsid w:val="00B02FA3"/>
    <w:rsid w:val="00B03674"/>
    <w:rsid w:val="00B03EA7"/>
    <w:rsid w:val="00B048FD"/>
    <w:rsid w:val="00B04CE3"/>
    <w:rsid w:val="00B05084"/>
    <w:rsid w:val="00B05E64"/>
    <w:rsid w:val="00B061A8"/>
    <w:rsid w:val="00B10948"/>
    <w:rsid w:val="00B10B4F"/>
    <w:rsid w:val="00B13111"/>
    <w:rsid w:val="00B137D4"/>
    <w:rsid w:val="00B1425F"/>
    <w:rsid w:val="00B145D3"/>
    <w:rsid w:val="00B157F9"/>
    <w:rsid w:val="00B16218"/>
    <w:rsid w:val="00B16751"/>
    <w:rsid w:val="00B175F3"/>
    <w:rsid w:val="00B17EBF"/>
    <w:rsid w:val="00B20256"/>
    <w:rsid w:val="00B20D09"/>
    <w:rsid w:val="00B21749"/>
    <w:rsid w:val="00B22EAF"/>
    <w:rsid w:val="00B239A4"/>
    <w:rsid w:val="00B23F53"/>
    <w:rsid w:val="00B23FC7"/>
    <w:rsid w:val="00B25083"/>
    <w:rsid w:val="00B2522E"/>
    <w:rsid w:val="00B27470"/>
    <w:rsid w:val="00B2763F"/>
    <w:rsid w:val="00B27AAC"/>
    <w:rsid w:val="00B3013B"/>
    <w:rsid w:val="00B30929"/>
    <w:rsid w:val="00B32F09"/>
    <w:rsid w:val="00B35D01"/>
    <w:rsid w:val="00B365D7"/>
    <w:rsid w:val="00B36DBA"/>
    <w:rsid w:val="00B372AA"/>
    <w:rsid w:val="00B40445"/>
    <w:rsid w:val="00B409E0"/>
    <w:rsid w:val="00B4140D"/>
    <w:rsid w:val="00B4169E"/>
    <w:rsid w:val="00B41888"/>
    <w:rsid w:val="00B43023"/>
    <w:rsid w:val="00B441AC"/>
    <w:rsid w:val="00B44BE6"/>
    <w:rsid w:val="00B45A52"/>
    <w:rsid w:val="00B46175"/>
    <w:rsid w:val="00B463A9"/>
    <w:rsid w:val="00B4701E"/>
    <w:rsid w:val="00B47963"/>
    <w:rsid w:val="00B47DD1"/>
    <w:rsid w:val="00B47DE5"/>
    <w:rsid w:val="00B50DD6"/>
    <w:rsid w:val="00B50FF9"/>
    <w:rsid w:val="00B525B6"/>
    <w:rsid w:val="00B5283D"/>
    <w:rsid w:val="00B5312E"/>
    <w:rsid w:val="00B548B7"/>
    <w:rsid w:val="00B56B30"/>
    <w:rsid w:val="00B57D8F"/>
    <w:rsid w:val="00B600F0"/>
    <w:rsid w:val="00B61265"/>
    <w:rsid w:val="00B61569"/>
    <w:rsid w:val="00B62897"/>
    <w:rsid w:val="00B650FA"/>
    <w:rsid w:val="00B664C7"/>
    <w:rsid w:val="00B6782A"/>
    <w:rsid w:val="00B7114D"/>
    <w:rsid w:val="00B720B5"/>
    <w:rsid w:val="00B728E9"/>
    <w:rsid w:val="00B72ADC"/>
    <w:rsid w:val="00B739F6"/>
    <w:rsid w:val="00B7418F"/>
    <w:rsid w:val="00B7677A"/>
    <w:rsid w:val="00B80ABA"/>
    <w:rsid w:val="00B80DF6"/>
    <w:rsid w:val="00B81A6C"/>
    <w:rsid w:val="00B82BA2"/>
    <w:rsid w:val="00B82CCE"/>
    <w:rsid w:val="00B83DA4"/>
    <w:rsid w:val="00B8448B"/>
    <w:rsid w:val="00B85DE5"/>
    <w:rsid w:val="00B86465"/>
    <w:rsid w:val="00B86FC6"/>
    <w:rsid w:val="00B8751D"/>
    <w:rsid w:val="00B90F73"/>
    <w:rsid w:val="00B90FD7"/>
    <w:rsid w:val="00B9307A"/>
    <w:rsid w:val="00B93B59"/>
    <w:rsid w:val="00B93BF6"/>
    <w:rsid w:val="00B9406A"/>
    <w:rsid w:val="00B940C4"/>
    <w:rsid w:val="00B9621C"/>
    <w:rsid w:val="00B9750E"/>
    <w:rsid w:val="00BA1757"/>
    <w:rsid w:val="00BA2280"/>
    <w:rsid w:val="00BA2A08"/>
    <w:rsid w:val="00BA40B1"/>
    <w:rsid w:val="00BA4DEC"/>
    <w:rsid w:val="00BA56D2"/>
    <w:rsid w:val="00BA6B4A"/>
    <w:rsid w:val="00BA6D6A"/>
    <w:rsid w:val="00BA76E0"/>
    <w:rsid w:val="00BB1A6B"/>
    <w:rsid w:val="00BB276E"/>
    <w:rsid w:val="00BB2A25"/>
    <w:rsid w:val="00BB3873"/>
    <w:rsid w:val="00BB3C3E"/>
    <w:rsid w:val="00BB51E9"/>
    <w:rsid w:val="00BB578C"/>
    <w:rsid w:val="00BB59E1"/>
    <w:rsid w:val="00BB5A01"/>
    <w:rsid w:val="00BC0E27"/>
    <w:rsid w:val="00BC0FDC"/>
    <w:rsid w:val="00BC1D34"/>
    <w:rsid w:val="00BC293D"/>
    <w:rsid w:val="00BC3053"/>
    <w:rsid w:val="00BC37BC"/>
    <w:rsid w:val="00BC3F8D"/>
    <w:rsid w:val="00BC4C10"/>
    <w:rsid w:val="00BC4D2E"/>
    <w:rsid w:val="00BC508B"/>
    <w:rsid w:val="00BC631F"/>
    <w:rsid w:val="00BD092B"/>
    <w:rsid w:val="00BD3C10"/>
    <w:rsid w:val="00BD48AC"/>
    <w:rsid w:val="00BD5F1A"/>
    <w:rsid w:val="00BE1063"/>
    <w:rsid w:val="00BE10E4"/>
    <w:rsid w:val="00BE1234"/>
    <w:rsid w:val="00BE2FA6"/>
    <w:rsid w:val="00BE2FA7"/>
    <w:rsid w:val="00BE333F"/>
    <w:rsid w:val="00BE4D7F"/>
    <w:rsid w:val="00BE636E"/>
    <w:rsid w:val="00BE71E7"/>
    <w:rsid w:val="00BE7406"/>
    <w:rsid w:val="00BE7603"/>
    <w:rsid w:val="00BF02D0"/>
    <w:rsid w:val="00BF04CC"/>
    <w:rsid w:val="00BF22BE"/>
    <w:rsid w:val="00BF3279"/>
    <w:rsid w:val="00BF438B"/>
    <w:rsid w:val="00BF569C"/>
    <w:rsid w:val="00BF5990"/>
    <w:rsid w:val="00BF6F1D"/>
    <w:rsid w:val="00BF74C7"/>
    <w:rsid w:val="00C00828"/>
    <w:rsid w:val="00C00E6A"/>
    <w:rsid w:val="00C015F1"/>
    <w:rsid w:val="00C01F33"/>
    <w:rsid w:val="00C02CC6"/>
    <w:rsid w:val="00C02E40"/>
    <w:rsid w:val="00C040F7"/>
    <w:rsid w:val="00C044AB"/>
    <w:rsid w:val="00C05506"/>
    <w:rsid w:val="00C05706"/>
    <w:rsid w:val="00C07377"/>
    <w:rsid w:val="00C10478"/>
    <w:rsid w:val="00C1083E"/>
    <w:rsid w:val="00C12107"/>
    <w:rsid w:val="00C12F67"/>
    <w:rsid w:val="00C14035"/>
    <w:rsid w:val="00C14BAE"/>
    <w:rsid w:val="00C14D4B"/>
    <w:rsid w:val="00C154BB"/>
    <w:rsid w:val="00C158AA"/>
    <w:rsid w:val="00C16522"/>
    <w:rsid w:val="00C2074F"/>
    <w:rsid w:val="00C2312E"/>
    <w:rsid w:val="00C2384C"/>
    <w:rsid w:val="00C242BB"/>
    <w:rsid w:val="00C24CEF"/>
    <w:rsid w:val="00C24FCC"/>
    <w:rsid w:val="00C268E6"/>
    <w:rsid w:val="00C27103"/>
    <w:rsid w:val="00C279A9"/>
    <w:rsid w:val="00C279B5"/>
    <w:rsid w:val="00C27BB8"/>
    <w:rsid w:val="00C27C45"/>
    <w:rsid w:val="00C27CFD"/>
    <w:rsid w:val="00C30B92"/>
    <w:rsid w:val="00C30C7C"/>
    <w:rsid w:val="00C3121C"/>
    <w:rsid w:val="00C324A3"/>
    <w:rsid w:val="00C3311C"/>
    <w:rsid w:val="00C33848"/>
    <w:rsid w:val="00C34892"/>
    <w:rsid w:val="00C34F8E"/>
    <w:rsid w:val="00C35503"/>
    <w:rsid w:val="00C3654E"/>
    <w:rsid w:val="00C3719D"/>
    <w:rsid w:val="00C37908"/>
    <w:rsid w:val="00C37B29"/>
    <w:rsid w:val="00C37CB2"/>
    <w:rsid w:val="00C417E9"/>
    <w:rsid w:val="00C41D81"/>
    <w:rsid w:val="00C42FDB"/>
    <w:rsid w:val="00C43D9D"/>
    <w:rsid w:val="00C452C5"/>
    <w:rsid w:val="00C45958"/>
    <w:rsid w:val="00C468D9"/>
    <w:rsid w:val="00C473A5"/>
    <w:rsid w:val="00C5167A"/>
    <w:rsid w:val="00C52C3A"/>
    <w:rsid w:val="00C54995"/>
    <w:rsid w:val="00C54D41"/>
    <w:rsid w:val="00C56DE6"/>
    <w:rsid w:val="00C57D06"/>
    <w:rsid w:val="00C60783"/>
    <w:rsid w:val="00C618E7"/>
    <w:rsid w:val="00C623E1"/>
    <w:rsid w:val="00C64672"/>
    <w:rsid w:val="00C65C58"/>
    <w:rsid w:val="00C6656B"/>
    <w:rsid w:val="00C668AD"/>
    <w:rsid w:val="00C67476"/>
    <w:rsid w:val="00C67BBE"/>
    <w:rsid w:val="00C700A6"/>
    <w:rsid w:val="00C70697"/>
    <w:rsid w:val="00C70885"/>
    <w:rsid w:val="00C72093"/>
    <w:rsid w:val="00C72460"/>
    <w:rsid w:val="00C72EF4"/>
    <w:rsid w:val="00C7343E"/>
    <w:rsid w:val="00C73668"/>
    <w:rsid w:val="00C74215"/>
    <w:rsid w:val="00C744FE"/>
    <w:rsid w:val="00C75D2F"/>
    <w:rsid w:val="00C767BE"/>
    <w:rsid w:val="00C76E3C"/>
    <w:rsid w:val="00C77D51"/>
    <w:rsid w:val="00C8003F"/>
    <w:rsid w:val="00C805F5"/>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150B"/>
    <w:rsid w:val="00CA160F"/>
    <w:rsid w:val="00CA1BAD"/>
    <w:rsid w:val="00CA1ED8"/>
    <w:rsid w:val="00CA2A0C"/>
    <w:rsid w:val="00CA3AE0"/>
    <w:rsid w:val="00CA59DD"/>
    <w:rsid w:val="00CA6927"/>
    <w:rsid w:val="00CA6D96"/>
    <w:rsid w:val="00CA7754"/>
    <w:rsid w:val="00CB1F63"/>
    <w:rsid w:val="00CB2B32"/>
    <w:rsid w:val="00CB2C0E"/>
    <w:rsid w:val="00CB3CE6"/>
    <w:rsid w:val="00CB4675"/>
    <w:rsid w:val="00CB486E"/>
    <w:rsid w:val="00CB6A2C"/>
    <w:rsid w:val="00CB6F9F"/>
    <w:rsid w:val="00CB7170"/>
    <w:rsid w:val="00CC040E"/>
    <w:rsid w:val="00CC08E2"/>
    <w:rsid w:val="00CC111F"/>
    <w:rsid w:val="00CC131E"/>
    <w:rsid w:val="00CC1CA2"/>
    <w:rsid w:val="00CC2011"/>
    <w:rsid w:val="00CC3EA0"/>
    <w:rsid w:val="00CC4E4B"/>
    <w:rsid w:val="00CC514C"/>
    <w:rsid w:val="00CC65CA"/>
    <w:rsid w:val="00CC7B45"/>
    <w:rsid w:val="00CD1188"/>
    <w:rsid w:val="00CD221A"/>
    <w:rsid w:val="00CD2371"/>
    <w:rsid w:val="00CD254F"/>
    <w:rsid w:val="00CD28AF"/>
    <w:rsid w:val="00CD2ED1"/>
    <w:rsid w:val="00CD304D"/>
    <w:rsid w:val="00CD337B"/>
    <w:rsid w:val="00CD4E39"/>
    <w:rsid w:val="00CD5FB6"/>
    <w:rsid w:val="00CD6454"/>
    <w:rsid w:val="00CD6EE0"/>
    <w:rsid w:val="00CE0424"/>
    <w:rsid w:val="00CE216D"/>
    <w:rsid w:val="00CE487D"/>
    <w:rsid w:val="00CE5268"/>
    <w:rsid w:val="00CE599C"/>
    <w:rsid w:val="00CE5C53"/>
    <w:rsid w:val="00CE6B3E"/>
    <w:rsid w:val="00CE7561"/>
    <w:rsid w:val="00CE7AAB"/>
    <w:rsid w:val="00CE7EEE"/>
    <w:rsid w:val="00CF1354"/>
    <w:rsid w:val="00CF3B1F"/>
    <w:rsid w:val="00CF3BF6"/>
    <w:rsid w:val="00CF4619"/>
    <w:rsid w:val="00CF4BC8"/>
    <w:rsid w:val="00CF5271"/>
    <w:rsid w:val="00CF5F75"/>
    <w:rsid w:val="00CF625B"/>
    <w:rsid w:val="00CF687E"/>
    <w:rsid w:val="00CF6907"/>
    <w:rsid w:val="00CF6FBA"/>
    <w:rsid w:val="00CF70EF"/>
    <w:rsid w:val="00CF741E"/>
    <w:rsid w:val="00D01409"/>
    <w:rsid w:val="00D03353"/>
    <w:rsid w:val="00D0349B"/>
    <w:rsid w:val="00D101AA"/>
    <w:rsid w:val="00D10249"/>
    <w:rsid w:val="00D11523"/>
    <w:rsid w:val="00D115C3"/>
    <w:rsid w:val="00D1180B"/>
    <w:rsid w:val="00D11897"/>
    <w:rsid w:val="00D11E4B"/>
    <w:rsid w:val="00D122A8"/>
    <w:rsid w:val="00D13135"/>
    <w:rsid w:val="00D13E4E"/>
    <w:rsid w:val="00D14762"/>
    <w:rsid w:val="00D17576"/>
    <w:rsid w:val="00D21637"/>
    <w:rsid w:val="00D2241E"/>
    <w:rsid w:val="00D22B44"/>
    <w:rsid w:val="00D22E2F"/>
    <w:rsid w:val="00D23710"/>
    <w:rsid w:val="00D239A7"/>
    <w:rsid w:val="00D23F47"/>
    <w:rsid w:val="00D24DFB"/>
    <w:rsid w:val="00D26CD7"/>
    <w:rsid w:val="00D302D7"/>
    <w:rsid w:val="00D32346"/>
    <w:rsid w:val="00D33BB2"/>
    <w:rsid w:val="00D34E04"/>
    <w:rsid w:val="00D35A7B"/>
    <w:rsid w:val="00D36DCF"/>
    <w:rsid w:val="00D36E71"/>
    <w:rsid w:val="00D37D87"/>
    <w:rsid w:val="00D40B33"/>
    <w:rsid w:val="00D4318F"/>
    <w:rsid w:val="00D438BF"/>
    <w:rsid w:val="00D440F8"/>
    <w:rsid w:val="00D444A8"/>
    <w:rsid w:val="00D44B4C"/>
    <w:rsid w:val="00D45B13"/>
    <w:rsid w:val="00D46071"/>
    <w:rsid w:val="00D46563"/>
    <w:rsid w:val="00D4701A"/>
    <w:rsid w:val="00D47E89"/>
    <w:rsid w:val="00D52126"/>
    <w:rsid w:val="00D538EE"/>
    <w:rsid w:val="00D543BC"/>
    <w:rsid w:val="00D546FF"/>
    <w:rsid w:val="00D55AD5"/>
    <w:rsid w:val="00D576CA"/>
    <w:rsid w:val="00D602D9"/>
    <w:rsid w:val="00D61643"/>
    <w:rsid w:val="00D61AF5"/>
    <w:rsid w:val="00D6280F"/>
    <w:rsid w:val="00D62F5F"/>
    <w:rsid w:val="00D63929"/>
    <w:rsid w:val="00D652B5"/>
    <w:rsid w:val="00D66155"/>
    <w:rsid w:val="00D708B0"/>
    <w:rsid w:val="00D72259"/>
    <w:rsid w:val="00D733F7"/>
    <w:rsid w:val="00D73516"/>
    <w:rsid w:val="00D74EE2"/>
    <w:rsid w:val="00D7601F"/>
    <w:rsid w:val="00D77B1D"/>
    <w:rsid w:val="00D8021F"/>
    <w:rsid w:val="00D80383"/>
    <w:rsid w:val="00D823C6"/>
    <w:rsid w:val="00D82E39"/>
    <w:rsid w:val="00D8327F"/>
    <w:rsid w:val="00D86976"/>
    <w:rsid w:val="00D86CA3"/>
    <w:rsid w:val="00D871CE"/>
    <w:rsid w:val="00D87586"/>
    <w:rsid w:val="00D87B9C"/>
    <w:rsid w:val="00D9196D"/>
    <w:rsid w:val="00D92982"/>
    <w:rsid w:val="00D92B9B"/>
    <w:rsid w:val="00D93F50"/>
    <w:rsid w:val="00D9498F"/>
    <w:rsid w:val="00D9643D"/>
    <w:rsid w:val="00D974B6"/>
    <w:rsid w:val="00DA0A96"/>
    <w:rsid w:val="00DA1EB0"/>
    <w:rsid w:val="00DA1FE5"/>
    <w:rsid w:val="00DA2641"/>
    <w:rsid w:val="00DA29B7"/>
    <w:rsid w:val="00DA2C77"/>
    <w:rsid w:val="00DA2D94"/>
    <w:rsid w:val="00DA305E"/>
    <w:rsid w:val="00DA32AE"/>
    <w:rsid w:val="00DA5417"/>
    <w:rsid w:val="00DA56E8"/>
    <w:rsid w:val="00DA61EB"/>
    <w:rsid w:val="00DB03ED"/>
    <w:rsid w:val="00DB0A9F"/>
    <w:rsid w:val="00DB25D4"/>
    <w:rsid w:val="00DB2CE8"/>
    <w:rsid w:val="00DB377D"/>
    <w:rsid w:val="00DB3AF9"/>
    <w:rsid w:val="00DB3F00"/>
    <w:rsid w:val="00DB5360"/>
    <w:rsid w:val="00DB6716"/>
    <w:rsid w:val="00DB6872"/>
    <w:rsid w:val="00DB77D7"/>
    <w:rsid w:val="00DC0956"/>
    <w:rsid w:val="00DC1B15"/>
    <w:rsid w:val="00DC2D36"/>
    <w:rsid w:val="00DC38EE"/>
    <w:rsid w:val="00DC4051"/>
    <w:rsid w:val="00DC53EF"/>
    <w:rsid w:val="00DC5A16"/>
    <w:rsid w:val="00DC6C2B"/>
    <w:rsid w:val="00DC738B"/>
    <w:rsid w:val="00DC7AC4"/>
    <w:rsid w:val="00DD0F34"/>
    <w:rsid w:val="00DD0F6B"/>
    <w:rsid w:val="00DD354B"/>
    <w:rsid w:val="00DD3AC5"/>
    <w:rsid w:val="00DD44DC"/>
    <w:rsid w:val="00DD4519"/>
    <w:rsid w:val="00DD4AA4"/>
    <w:rsid w:val="00DD6793"/>
    <w:rsid w:val="00DD6AE5"/>
    <w:rsid w:val="00DD775E"/>
    <w:rsid w:val="00DE00AE"/>
    <w:rsid w:val="00DE0FB3"/>
    <w:rsid w:val="00DE0FD5"/>
    <w:rsid w:val="00DE3364"/>
    <w:rsid w:val="00DE3CA8"/>
    <w:rsid w:val="00DE3F7E"/>
    <w:rsid w:val="00DE5608"/>
    <w:rsid w:val="00DE58D0"/>
    <w:rsid w:val="00DE642B"/>
    <w:rsid w:val="00DE654F"/>
    <w:rsid w:val="00DE66BC"/>
    <w:rsid w:val="00DE7DC5"/>
    <w:rsid w:val="00DF0B6E"/>
    <w:rsid w:val="00DF15E0"/>
    <w:rsid w:val="00DF19D3"/>
    <w:rsid w:val="00DF1BA7"/>
    <w:rsid w:val="00DF2E48"/>
    <w:rsid w:val="00DF37A0"/>
    <w:rsid w:val="00DF37C0"/>
    <w:rsid w:val="00DF4AE4"/>
    <w:rsid w:val="00DF54E5"/>
    <w:rsid w:val="00DF6307"/>
    <w:rsid w:val="00DF66E1"/>
    <w:rsid w:val="00E013F9"/>
    <w:rsid w:val="00E01842"/>
    <w:rsid w:val="00E022E8"/>
    <w:rsid w:val="00E03380"/>
    <w:rsid w:val="00E04F9C"/>
    <w:rsid w:val="00E05747"/>
    <w:rsid w:val="00E0704C"/>
    <w:rsid w:val="00E07528"/>
    <w:rsid w:val="00E110E7"/>
    <w:rsid w:val="00E11B20"/>
    <w:rsid w:val="00E12049"/>
    <w:rsid w:val="00E1320E"/>
    <w:rsid w:val="00E14D70"/>
    <w:rsid w:val="00E15207"/>
    <w:rsid w:val="00E171D6"/>
    <w:rsid w:val="00E17742"/>
    <w:rsid w:val="00E17FA2"/>
    <w:rsid w:val="00E20DF7"/>
    <w:rsid w:val="00E22330"/>
    <w:rsid w:val="00E2274D"/>
    <w:rsid w:val="00E25B05"/>
    <w:rsid w:val="00E25CB5"/>
    <w:rsid w:val="00E279A8"/>
    <w:rsid w:val="00E30B5A"/>
    <w:rsid w:val="00E3123D"/>
    <w:rsid w:val="00E31461"/>
    <w:rsid w:val="00E31D43"/>
    <w:rsid w:val="00E32608"/>
    <w:rsid w:val="00E32D44"/>
    <w:rsid w:val="00E331EB"/>
    <w:rsid w:val="00E33275"/>
    <w:rsid w:val="00E33E4A"/>
    <w:rsid w:val="00E34188"/>
    <w:rsid w:val="00E34826"/>
    <w:rsid w:val="00E34B6E"/>
    <w:rsid w:val="00E354D5"/>
    <w:rsid w:val="00E35559"/>
    <w:rsid w:val="00E35C86"/>
    <w:rsid w:val="00E3665C"/>
    <w:rsid w:val="00E3723A"/>
    <w:rsid w:val="00E3779F"/>
    <w:rsid w:val="00E37860"/>
    <w:rsid w:val="00E3792F"/>
    <w:rsid w:val="00E40293"/>
    <w:rsid w:val="00E41C1E"/>
    <w:rsid w:val="00E42038"/>
    <w:rsid w:val="00E432FF"/>
    <w:rsid w:val="00E43475"/>
    <w:rsid w:val="00E446F1"/>
    <w:rsid w:val="00E44AAD"/>
    <w:rsid w:val="00E46305"/>
    <w:rsid w:val="00E46886"/>
    <w:rsid w:val="00E46A0D"/>
    <w:rsid w:val="00E474C4"/>
    <w:rsid w:val="00E47AEF"/>
    <w:rsid w:val="00E53B75"/>
    <w:rsid w:val="00E54E3B"/>
    <w:rsid w:val="00E55B35"/>
    <w:rsid w:val="00E57565"/>
    <w:rsid w:val="00E601E8"/>
    <w:rsid w:val="00E6081A"/>
    <w:rsid w:val="00E609AC"/>
    <w:rsid w:val="00E62A48"/>
    <w:rsid w:val="00E631D7"/>
    <w:rsid w:val="00E6372B"/>
    <w:rsid w:val="00E63838"/>
    <w:rsid w:val="00E63AA5"/>
    <w:rsid w:val="00E64434"/>
    <w:rsid w:val="00E65F8F"/>
    <w:rsid w:val="00E676A9"/>
    <w:rsid w:val="00E67C51"/>
    <w:rsid w:val="00E71581"/>
    <w:rsid w:val="00E72EFC"/>
    <w:rsid w:val="00E7472D"/>
    <w:rsid w:val="00E74C0E"/>
    <w:rsid w:val="00E74C51"/>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84D"/>
    <w:rsid w:val="00E9291C"/>
    <w:rsid w:val="00E92C2A"/>
    <w:rsid w:val="00E92D63"/>
    <w:rsid w:val="00E93A60"/>
    <w:rsid w:val="00E93FB0"/>
    <w:rsid w:val="00E93FFE"/>
    <w:rsid w:val="00E94947"/>
    <w:rsid w:val="00E94AE7"/>
    <w:rsid w:val="00E94F8A"/>
    <w:rsid w:val="00E962BF"/>
    <w:rsid w:val="00E9641C"/>
    <w:rsid w:val="00E97591"/>
    <w:rsid w:val="00EA0799"/>
    <w:rsid w:val="00EA1BF2"/>
    <w:rsid w:val="00EA1D10"/>
    <w:rsid w:val="00EA50BB"/>
    <w:rsid w:val="00EA5F7F"/>
    <w:rsid w:val="00EA6166"/>
    <w:rsid w:val="00EA6318"/>
    <w:rsid w:val="00EA7114"/>
    <w:rsid w:val="00EA7543"/>
    <w:rsid w:val="00EA7A41"/>
    <w:rsid w:val="00EB077B"/>
    <w:rsid w:val="00EB192E"/>
    <w:rsid w:val="00EB1D7E"/>
    <w:rsid w:val="00EB21EB"/>
    <w:rsid w:val="00EB4CA3"/>
    <w:rsid w:val="00EB4EA2"/>
    <w:rsid w:val="00EB70EE"/>
    <w:rsid w:val="00EC0835"/>
    <w:rsid w:val="00EC1DA2"/>
    <w:rsid w:val="00EC24D5"/>
    <w:rsid w:val="00EC27C6"/>
    <w:rsid w:val="00EC3351"/>
    <w:rsid w:val="00EC4207"/>
    <w:rsid w:val="00EC5121"/>
    <w:rsid w:val="00EC5520"/>
    <w:rsid w:val="00EC5653"/>
    <w:rsid w:val="00EC6D28"/>
    <w:rsid w:val="00EC71CE"/>
    <w:rsid w:val="00EC782B"/>
    <w:rsid w:val="00EC7F9A"/>
    <w:rsid w:val="00ED1006"/>
    <w:rsid w:val="00ED194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E75E5"/>
    <w:rsid w:val="00EE7977"/>
    <w:rsid w:val="00EF0979"/>
    <w:rsid w:val="00EF0D20"/>
    <w:rsid w:val="00EF18FE"/>
    <w:rsid w:val="00EF3DA0"/>
    <w:rsid w:val="00EF577B"/>
    <w:rsid w:val="00EF5787"/>
    <w:rsid w:val="00EF60D0"/>
    <w:rsid w:val="00EF77BF"/>
    <w:rsid w:val="00F00A55"/>
    <w:rsid w:val="00F01783"/>
    <w:rsid w:val="00F018E8"/>
    <w:rsid w:val="00F01CC5"/>
    <w:rsid w:val="00F022A3"/>
    <w:rsid w:val="00F027A1"/>
    <w:rsid w:val="00F03522"/>
    <w:rsid w:val="00F0497A"/>
    <w:rsid w:val="00F0528D"/>
    <w:rsid w:val="00F052E7"/>
    <w:rsid w:val="00F05D4A"/>
    <w:rsid w:val="00F06C67"/>
    <w:rsid w:val="00F06D60"/>
    <w:rsid w:val="00F06DCE"/>
    <w:rsid w:val="00F06DFD"/>
    <w:rsid w:val="00F071D1"/>
    <w:rsid w:val="00F0734D"/>
    <w:rsid w:val="00F07533"/>
    <w:rsid w:val="00F077CD"/>
    <w:rsid w:val="00F10629"/>
    <w:rsid w:val="00F10ED2"/>
    <w:rsid w:val="00F11112"/>
    <w:rsid w:val="00F11631"/>
    <w:rsid w:val="00F132BB"/>
    <w:rsid w:val="00F13EA3"/>
    <w:rsid w:val="00F153D5"/>
    <w:rsid w:val="00F15FA5"/>
    <w:rsid w:val="00F16A17"/>
    <w:rsid w:val="00F178A5"/>
    <w:rsid w:val="00F17B9E"/>
    <w:rsid w:val="00F2054A"/>
    <w:rsid w:val="00F209B7"/>
    <w:rsid w:val="00F20F5C"/>
    <w:rsid w:val="00F23015"/>
    <w:rsid w:val="00F2376F"/>
    <w:rsid w:val="00F239AE"/>
    <w:rsid w:val="00F243D8"/>
    <w:rsid w:val="00F2681E"/>
    <w:rsid w:val="00F305F5"/>
    <w:rsid w:val="00F30828"/>
    <w:rsid w:val="00F309B9"/>
    <w:rsid w:val="00F30B2B"/>
    <w:rsid w:val="00F313D6"/>
    <w:rsid w:val="00F351B5"/>
    <w:rsid w:val="00F37234"/>
    <w:rsid w:val="00F37C8C"/>
    <w:rsid w:val="00F40F0C"/>
    <w:rsid w:val="00F41073"/>
    <w:rsid w:val="00F43477"/>
    <w:rsid w:val="00F43EA6"/>
    <w:rsid w:val="00F44069"/>
    <w:rsid w:val="00F45ACD"/>
    <w:rsid w:val="00F47507"/>
    <w:rsid w:val="00F4766C"/>
    <w:rsid w:val="00F5030A"/>
    <w:rsid w:val="00F5060E"/>
    <w:rsid w:val="00F507D1"/>
    <w:rsid w:val="00F519CE"/>
    <w:rsid w:val="00F51ADA"/>
    <w:rsid w:val="00F52407"/>
    <w:rsid w:val="00F52594"/>
    <w:rsid w:val="00F52CEA"/>
    <w:rsid w:val="00F55511"/>
    <w:rsid w:val="00F55FD8"/>
    <w:rsid w:val="00F571EA"/>
    <w:rsid w:val="00F600AE"/>
    <w:rsid w:val="00F60203"/>
    <w:rsid w:val="00F607C5"/>
    <w:rsid w:val="00F60DEA"/>
    <w:rsid w:val="00F6229D"/>
    <w:rsid w:val="00F6302A"/>
    <w:rsid w:val="00F63950"/>
    <w:rsid w:val="00F63FFE"/>
    <w:rsid w:val="00F64376"/>
    <w:rsid w:val="00F64475"/>
    <w:rsid w:val="00F64730"/>
    <w:rsid w:val="00F64AB7"/>
    <w:rsid w:val="00F64C2B"/>
    <w:rsid w:val="00F650DA"/>
    <w:rsid w:val="00F651BE"/>
    <w:rsid w:val="00F65474"/>
    <w:rsid w:val="00F67F53"/>
    <w:rsid w:val="00F703BE"/>
    <w:rsid w:val="00F717B5"/>
    <w:rsid w:val="00F71F69"/>
    <w:rsid w:val="00F724CF"/>
    <w:rsid w:val="00F725F5"/>
    <w:rsid w:val="00F72B72"/>
    <w:rsid w:val="00F73E4D"/>
    <w:rsid w:val="00F74BB9"/>
    <w:rsid w:val="00F75582"/>
    <w:rsid w:val="00F75D63"/>
    <w:rsid w:val="00F76EFA"/>
    <w:rsid w:val="00F804BE"/>
    <w:rsid w:val="00F810AB"/>
    <w:rsid w:val="00F817CE"/>
    <w:rsid w:val="00F8185A"/>
    <w:rsid w:val="00F8315A"/>
    <w:rsid w:val="00F83A2C"/>
    <w:rsid w:val="00F8456C"/>
    <w:rsid w:val="00F84B8C"/>
    <w:rsid w:val="00F859D8"/>
    <w:rsid w:val="00F85FD1"/>
    <w:rsid w:val="00F868F5"/>
    <w:rsid w:val="00F87CD4"/>
    <w:rsid w:val="00F9056A"/>
    <w:rsid w:val="00F90F8D"/>
    <w:rsid w:val="00F913D7"/>
    <w:rsid w:val="00F916FD"/>
    <w:rsid w:val="00F9184A"/>
    <w:rsid w:val="00F91E42"/>
    <w:rsid w:val="00F91F9A"/>
    <w:rsid w:val="00F92782"/>
    <w:rsid w:val="00F927C5"/>
    <w:rsid w:val="00F93025"/>
    <w:rsid w:val="00F93AA9"/>
    <w:rsid w:val="00F93B6A"/>
    <w:rsid w:val="00F945FA"/>
    <w:rsid w:val="00F95961"/>
    <w:rsid w:val="00F96146"/>
    <w:rsid w:val="00F96985"/>
    <w:rsid w:val="00F97838"/>
    <w:rsid w:val="00FA0B38"/>
    <w:rsid w:val="00FA0CC2"/>
    <w:rsid w:val="00FA150C"/>
    <w:rsid w:val="00FA2BB3"/>
    <w:rsid w:val="00FA3013"/>
    <w:rsid w:val="00FA3101"/>
    <w:rsid w:val="00FA5497"/>
    <w:rsid w:val="00FB0994"/>
    <w:rsid w:val="00FB0F88"/>
    <w:rsid w:val="00FB10C1"/>
    <w:rsid w:val="00FB16DB"/>
    <w:rsid w:val="00FB32C0"/>
    <w:rsid w:val="00FB3349"/>
    <w:rsid w:val="00FB430B"/>
    <w:rsid w:val="00FB4C80"/>
    <w:rsid w:val="00FB62C1"/>
    <w:rsid w:val="00FB63BC"/>
    <w:rsid w:val="00FB6593"/>
    <w:rsid w:val="00FB6661"/>
    <w:rsid w:val="00FB6A6A"/>
    <w:rsid w:val="00FB7A0F"/>
    <w:rsid w:val="00FC12AF"/>
    <w:rsid w:val="00FC2F94"/>
    <w:rsid w:val="00FC371F"/>
    <w:rsid w:val="00FC5ACD"/>
    <w:rsid w:val="00FC7429"/>
    <w:rsid w:val="00FC7497"/>
    <w:rsid w:val="00FC7DBC"/>
    <w:rsid w:val="00FD04CE"/>
    <w:rsid w:val="00FD07F6"/>
    <w:rsid w:val="00FD17F7"/>
    <w:rsid w:val="00FD1EC8"/>
    <w:rsid w:val="00FD2D7A"/>
    <w:rsid w:val="00FD32D1"/>
    <w:rsid w:val="00FD3432"/>
    <w:rsid w:val="00FD406F"/>
    <w:rsid w:val="00FD4253"/>
    <w:rsid w:val="00FD4266"/>
    <w:rsid w:val="00FD47ED"/>
    <w:rsid w:val="00FD51D8"/>
    <w:rsid w:val="00FD581F"/>
    <w:rsid w:val="00FD74DB"/>
    <w:rsid w:val="00FD7660"/>
    <w:rsid w:val="00FE0655"/>
    <w:rsid w:val="00FE122E"/>
    <w:rsid w:val="00FE2365"/>
    <w:rsid w:val="00FE37D7"/>
    <w:rsid w:val="00FE3B62"/>
    <w:rsid w:val="00FE4022"/>
    <w:rsid w:val="00FE4916"/>
    <w:rsid w:val="00FE4C7B"/>
    <w:rsid w:val="00FE4FBC"/>
    <w:rsid w:val="00FE670B"/>
    <w:rsid w:val="00FE6805"/>
    <w:rsid w:val="00FE7336"/>
    <w:rsid w:val="00FE7462"/>
    <w:rsid w:val="00FE787C"/>
    <w:rsid w:val="00FE7F6B"/>
    <w:rsid w:val="00FF0598"/>
    <w:rsid w:val="00FF087A"/>
    <w:rsid w:val="00FF1575"/>
    <w:rsid w:val="00FF37C2"/>
    <w:rsid w:val="00FF45A5"/>
    <w:rsid w:val="00FF5247"/>
    <w:rsid w:val="00FF5461"/>
    <w:rsid w:val="00FF5C91"/>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B6107A-9283-4D4E-B8BA-C2BE041E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5918F5"/>
    <w:rPr>
      <w:rFonts w:ascii="Times New Roman" w:hAnsi="Times New Roman"/>
      <w:lang w:eastAsia="ja-JP"/>
    </w:rPr>
  </w:style>
  <w:style w:type="character" w:customStyle="1" w:styleId="ui-provider">
    <w:name w:val="ui-provider"/>
    <w:basedOn w:val="DefaultParagraphFont"/>
    <w:rsid w:val="009A0B11"/>
  </w:style>
  <w:style w:type="character" w:styleId="Mention">
    <w:name w:val="Mention"/>
    <w:basedOn w:val="DefaultParagraphFont"/>
    <w:uiPriority w:val="99"/>
    <w:unhideWhenUsed/>
    <w:rsid w:val="00551C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846209377">
      <w:bodyDiv w:val="1"/>
      <w:marLeft w:val="0"/>
      <w:marRight w:val="0"/>
      <w:marTop w:val="0"/>
      <w:marBottom w:val="0"/>
      <w:divBdr>
        <w:top w:val="none" w:sz="0" w:space="0" w:color="auto"/>
        <w:left w:val="none" w:sz="0" w:space="0" w:color="auto"/>
        <w:bottom w:val="none" w:sz="0" w:space="0" w:color="auto"/>
        <w:right w:val="none" w:sz="0" w:space="0" w:color="auto"/>
      </w:divBdr>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d8762117-8292-4133-b1c7-eab5c6487cfd"/>
    <ds:schemaRef ds:uri="http://purl.org/dc/terms/"/>
    <ds:schemaRef ds:uri="http://purl.org/dc/dcmitype/"/>
    <ds:schemaRef ds:uri="9b239327-9e80-40e4-b1b7-4394fed77a33"/>
    <ds:schemaRef ds:uri="http://schemas.microsoft.com/sharepoint/v3"/>
    <ds:schemaRef ds:uri="http://purl.org/dc/elements/1.1/"/>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E9AB76F2-8A12-41A0-90CA-915D7138B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8</Pages>
  <Words>3480</Words>
  <Characters>19837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23271</CharactersWithSpaces>
  <SharedDoc>false</SharedDoc>
  <HLinks>
    <vt:vector size="84" baseType="variant">
      <vt:variant>
        <vt:i4>1900602</vt:i4>
      </vt:variant>
      <vt:variant>
        <vt:i4>56</vt:i4>
      </vt:variant>
      <vt:variant>
        <vt:i4>0</vt:i4>
      </vt:variant>
      <vt:variant>
        <vt:i4>5</vt:i4>
      </vt:variant>
      <vt:variant>
        <vt:lpwstr/>
      </vt:variant>
      <vt:variant>
        <vt:lpwstr>_Toc134777899</vt:lpwstr>
      </vt:variant>
      <vt:variant>
        <vt:i4>1900602</vt:i4>
      </vt:variant>
      <vt:variant>
        <vt:i4>53</vt:i4>
      </vt:variant>
      <vt:variant>
        <vt:i4>0</vt:i4>
      </vt:variant>
      <vt:variant>
        <vt:i4>5</vt:i4>
      </vt:variant>
      <vt:variant>
        <vt:lpwstr/>
      </vt:variant>
      <vt:variant>
        <vt:lpwstr>_Toc134777898</vt:lpwstr>
      </vt:variant>
      <vt:variant>
        <vt:i4>1900602</vt:i4>
      </vt:variant>
      <vt:variant>
        <vt:i4>50</vt:i4>
      </vt:variant>
      <vt:variant>
        <vt:i4>0</vt:i4>
      </vt:variant>
      <vt:variant>
        <vt:i4>5</vt:i4>
      </vt:variant>
      <vt:variant>
        <vt:lpwstr/>
      </vt:variant>
      <vt:variant>
        <vt:lpwstr>_Toc134777897</vt:lpwstr>
      </vt:variant>
      <vt:variant>
        <vt:i4>1900602</vt:i4>
      </vt:variant>
      <vt:variant>
        <vt:i4>47</vt:i4>
      </vt:variant>
      <vt:variant>
        <vt:i4>0</vt:i4>
      </vt:variant>
      <vt:variant>
        <vt:i4>5</vt:i4>
      </vt:variant>
      <vt:variant>
        <vt:lpwstr/>
      </vt:variant>
      <vt:variant>
        <vt:lpwstr>_Toc134777896</vt:lpwstr>
      </vt:variant>
      <vt:variant>
        <vt:i4>1900602</vt:i4>
      </vt:variant>
      <vt:variant>
        <vt:i4>44</vt:i4>
      </vt:variant>
      <vt:variant>
        <vt:i4>0</vt:i4>
      </vt:variant>
      <vt:variant>
        <vt:i4>5</vt:i4>
      </vt:variant>
      <vt:variant>
        <vt:lpwstr/>
      </vt:variant>
      <vt:variant>
        <vt:lpwstr>_Toc134777895</vt:lpwstr>
      </vt:variant>
      <vt:variant>
        <vt:i4>1900602</vt:i4>
      </vt:variant>
      <vt:variant>
        <vt:i4>41</vt:i4>
      </vt:variant>
      <vt:variant>
        <vt:i4>0</vt:i4>
      </vt:variant>
      <vt:variant>
        <vt:i4>5</vt:i4>
      </vt:variant>
      <vt:variant>
        <vt:lpwstr/>
      </vt:variant>
      <vt:variant>
        <vt:lpwstr>_Toc134777894</vt:lpwstr>
      </vt:variant>
      <vt:variant>
        <vt:i4>1900602</vt:i4>
      </vt:variant>
      <vt:variant>
        <vt:i4>38</vt:i4>
      </vt:variant>
      <vt:variant>
        <vt:i4>0</vt:i4>
      </vt:variant>
      <vt:variant>
        <vt:i4>5</vt:i4>
      </vt:variant>
      <vt:variant>
        <vt:lpwstr/>
      </vt:variant>
      <vt:variant>
        <vt:lpwstr>_Toc134777893</vt:lpwstr>
      </vt:variant>
      <vt:variant>
        <vt:i4>1900602</vt:i4>
      </vt:variant>
      <vt:variant>
        <vt:i4>35</vt:i4>
      </vt:variant>
      <vt:variant>
        <vt:i4>0</vt:i4>
      </vt:variant>
      <vt:variant>
        <vt:i4>5</vt:i4>
      </vt:variant>
      <vt:variant>
        <vt:lpwstr/>
      </vt:variant>
      <vt:variant>
        <vt:lpwstr>_Toc134777892</vt:lpwstr>
      </vt:variant>
      <vt:variant>
        <vt:i4>1900602</vt:i4>
      </vt:variant>
      <vt:variant>
        <vt:i4>32</vt:i4>
      </vt:variant>
      <vt:variant>
        <vt:i4>0</vt:i4>
      </vt:variant>
      <vt:variant>
        <vt:i4>5</vt:i4>
      </vt:variant>
      <vt:variant>
        <vt:lpwstr/>
      </vt:variant>
      <vt:variant>
        <vt:lpwstr>_Toc134777891</vt:lpwstr>
      </vt:variant>
      <vt:variant>
        <vt:i4>1900602</vt:i4>
      </vt:variant>
      <vt:variant>
        <vt:i4>29</vt:i4>
      </vt:variant>
      <vt:variant>
        <vt:i4>0</vt:i4>
      </vt:variant>
      <vt:variant>
        <vt:i4>5</vt:i4>
      </vt:variant>
      <vt:variant>
        <vt:lpwstr/>
      </vt:variant>
      <vt:variant>
        <vt:lpwstr>_Toc134777890</vt:lpwstr>
      </vt:variant>
      <vt:variant>
        <vt:i4>1835066</vt:i4>
      </vt:variant>
      <vt:variant>
        <vt:i4>26</vt:i4>
      </vt:variant>
      <vt:variant>
        <vt:i4>0</vt:i4>
      </vt:variant>
      <vt:variant>
        <vt:i4>5</vt:i4>
      </vt:variant>
      <vt:variant>
        <vt:lpwstr/>
      </vt:variant>
      <vt:variant>
        <vt:lpwstr>_Toc134777889</vt:lpwstr>
      </vt:variant>
      <vt:variant>
        <vt:i4>1835066</vt:i4>
      </vt:variant>
      <vt:variant>
        <vt:i4>23</vt:i4>
      </vt:variant>
      <vt:variant>
        <vt:i4>0</vt:i4>
      </vt:variant>
      <vt:variant>
        <vt:i4>5</vt:i4>
      </vt:variant>
      <vt:variant>
        <vt:lpwstr/>
      </vt:variant>
      <vt:variant>
        <vt:lpwstr>_Toc134777888</vt:lpwstr>
      </vt:variant>
      <vt:variant>
        <vt:i4>1507386</vt:i4>
      </vt:variant>
      <vt:variant>
        <vt:i4>17</vt:i4>
      </vt:variant>
      <vt:variant>
        <vt:i4>0</vt:i4>
      </vt:variant>
      <vt:variant>
        <vt:i4>5</vt:i4>
      </vt:variant>
      <vt:variant>
        <vt:lpwstr/>
      </vt:variant>
      <vt:variant>
        <vt:lpwstr>_Toc134773877</vt:lpwstr>
      </vt:variant>
      <vt:variant>
        <vt:i4>1507386</vt:i4>
      </vt:variant>
      <vt:variant>
        <vt:i4>14</vt:i4>
      </vt:variant>
      <vt:variant>
        <vt:i4>0</vt:i4>
      </vt:variant>
      <vt:variant>
        <vt:i4>5</vt:i4>
      </vt:variant>
      <vt:variant>
        <vt:lpwstr/>
      </vt:variant>
      <vt:variant>
        <vt:lpwstr>_Toc134773876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2008-01-31T16:09:00Z</cp:lastPrinted>
  <dcterms:created xsi:type="dcterms:W3CDTF">2023-08-10T17:47:00Z</dcterms:created>
  <dcterms:modified xsi:type="dcterms:W3CDTF">2023-08-10T17:47:00Z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